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CB" w:rsidRPr="009F5AD2" w:rsidRDefault="00233ECB" w:rsidP="009F5AD2">
      <w:pPr>
        <w:pStyle w:val="a3"/>
        <w:spacing w:line="500" w:lineRule="exact"/>
        <w:ind w:leftChars="0"/>
        <w:rPr>
          <w:rFonts w:ascii="標楷體" w:eastAsia="標楷體" w:hAnsi="標楷體"/>
          <w:b/>
          <w:sz w:val="32"/>
          <w:szCs w:val="32"/>
        </w:rPr>
      </w:pPr>
      <w:r w:rsidRPr="009F5AD2">
        <w:rPr>
          <w:rFonts w:ascii="標楷體" w:eastAsia="標楷體" w:hAnsi="標楷體" w:cs="標楷體" w:hint="eastAsia"/>
          <w:b/>
          <w:color w:val="000000"/>
          <w:kern w:val="0"/>
          <w:sz w:val="36"/>
          <w:szCs w:val="36"/>
        </w:rPr>
        <w:t>資產及負債如何歸類屬重複性或非重複性基礎之指引</w:t>
      </w:r>
    </w:p>
    <w:p w:rsidR="00233ECB" w:rsidRPr="00F47D30" w:rsidRDefault="00233ECB" w:rsidP="009F5AD2">
      <w:pPr>
        <w:pStyle w:val="a3"/>
        <w:numPr>
          <w:ilvl w:val="0"/>
          <w:numId w:val="1"/>
        </w:numPr>
        <w:spacing w:line="500" w:lineRule="exact"/>
        <w:ind w:leftChars="0"/>
        <w:rPr>
          <w:rFonts w:ascii="標楷體" w:eastAsia="標楷體" w:hAnsi="標楷體"/>
          <w:b/>
          <w:sz w:val="32"/>
          <w:szCs w:val="32"/>
        </w:rPr>
      </w:pPr>
      <w:r w:rsidRPr="00F47D30">
        <w:rPr>
          <w:rFonts w:ascii="標楷體" w:eastAsia="標楷體" w:hAnsi="標楷體" w:hint="eastAsia"/>
          <w:b/>
          <w:sz w:val="32"/>
          <w:szCs w:val="32"/>
        </w:rPr>
        <w:t>前言</w:t>
      </w:r>
    </w:p>
    <w:p w:rsidR="00822F92" w:rsidRPr="009F5AD2" w:rsidRDefault="00822F92" w:rsidP="009F5AD2">
      <w:pPr>
        <w:pStyle w:val="a3"/>
        <w:spacing w:line="500" w:lineRule="exact"/>
        <w:ind w:leftChars="0" w:firstLineChars="202" w:firstLine="646"/>
        <w:rPr>
          <w:rFonts w:ascii="標楷體" w:eastAsia="標楷體" w:hAnsi="標楷體"/>
          <w:sz w:val="32"/>
          <w:szCs w:val="32"/>
        </w:rPr>
      </w:pPr>
      <w:r w:rsidRPr="009F5AD2">
        <w:rPr>
          <w:rFonts w:ascii="標楷體" w:eastAsia="標楷體" w:hAnsi="標楷體"/>
          <w:sz w:val="32"/>
          <w:szCs w:val="32"/>
        </w:rPr>
        <w:t>IFRS 13</w:t>
      </w:r>
      <w:r w:rsidRPr="009F5AD2">
        <w:rPr>
          <w:rFonts w:ascii="標楷體" w:eastAsia="標楷體" w:hAnsi="標楷體" w:hint="eastAsia"/>
          <w:sz w:val="32"/>
          <w:szCs w:val="32"/>
        </w:rPr>
        <w:t>「公允價值衡量」針對公允價值衡量之性質為重複性或非重複性，對已認列(而非僅作揭露)之公允價值衡量訂有不同之揭露規定。因此，有必要了解重複性與非重複性之區別。</w:t>
      </w:r>
    </w:p>
    <w:p w:rsidR="00822F92" w:rsidRPr="009F5AD2" w:rsidRDefault="00822F92" w:rsidP="009F5AD2">
      <w:pPr>
        <w:pStyle w:val="a3"/>
        <w:spacing w:line="500" w:lineRule="exact"/>
        <w:ind w:leftChars="0" w:firstLineChars="202" w:firstLine="646"/>
        <w:rPr>
          <w:rFonts w:ascii="標楷體" w:eastAsia="標楷體" w:hAnsi="標楷體"/>
          <w:sz w:val="32"/>
          <w:szCs w:val="32"/>
          <w:shd w:val="pct15" w:color="auto" w:fill="FFFFFF"/>
        </w:rPr>
      </w:pPr>
      <w:r w:rsidRPr="009F5AD2">
        <w:rPr>
          <w:rFonts w:ascii="標楷體" w:eastAsia="標楷體" w:hAnsi="標楷體" w:hint="eastAsia"/>
          <w:sz w:val="32"/>
          <w:szCs w:val="32"/>
        </w:rPr>
        <w:t>此規範方式係因財務報表使用者要求國際會計準則理事會（IASB）將美國一般公認會計原則中有關揭露公允價值衡量資訊之相同原則納入國際財務報導準則中。因此，IASB方決定區分此兩種類型之公允價值衡量，並說明其差異。</w:t>
      </w:r>
    </w:p>
    <w:p w:rsidR="00F87274" w:rsidRPr="00F47D30" w:rsidRDefault="00233ECB" w:rsidP="009F5AD2">
      <w:pPr>
        <w:pStyle w:val="a3"/>
        <w:numPr>
          <w:ilvl w:val="0"/>
          <w:numId w:val="1"/>
        </w:numPr>
        <w:spacing w:line="500" w:lineRule="exact"/>
        <w:ind w:leftChars="0"/>
        <w:rPr>
          <w:rFonts w:ascii="標楷體" w:eastAsia="標楷體" w:hAnsi="標楷體"/>
          <w:b/>
          <w:sz w:val="32"/>
          <w:szCs w:val="32"/>
        </w:rPr>
      </w:pPr>
      <w:r w:rsidRPr="00F47D30">
        <w:rPr>
          <w:rFonts w:ascii="標楷體" w:eastAsia="標楷體" w:hAnsi="標楷體" w:hint="eastAsia"/>
          <w:b/>
          <w:sz w:val="32"/>
          <w:szCs w:val="32"/>
        </w:rPr>
        <w:t>指引內容</w:t>
      </w:r>
    </w:p>
    <w:p w:rsidR="00F87274" w:rsidRPr="009F5AD2" w:rsidRDefault="00822F92" w:rsidP="009F5AD2">
      <w:pPr>
        <w:pStyle w:val="a3"/>
        <w:spacing w:line="500" w:lineRule="exact"/>
        <w:ind w:leftChars="0" w:firstLineChars="202" w:firstLine="646"/>
        <w:rPr>
          <w:rFonts w:ascii="標楷體" w:eastAsia="標楷體" w:hAnsi="標楷體"/>
          <w:sz w:val="32"/>
          <w:szCs w:val="32"/>
        </w:rPr>
      </w:pPr>
      <w:r w:rsidRPr="009F5AD2">
        <w:rPr>
          <w:rFonts w:ascii="標楷體" w:eastAsia="標楷體" w:hAnsi="標楷體" w:hint="eastAsia"/>
          <w:sz w:val="32"/>
          <w:szCs w:val="32"/>
        </w:rPr>
        <w:t>茲就公允價值重複性或非重複性衡量基礎之區分說明如下：</w:t>
      </w:r>
    </w:p>
    <w:p w:rsidR="00F87274" w:rsidRPr="009F5AD2" w:rsidRDefault="00F87274" w:rsidP="009F5AD2">
      <w:pPr>
        <w:pStyle w:val="a3"/>
        <w:numPr>
          <w:ilvl w:val="0"/>
          <w:numId w:val="2"/>
        </w:numPr>
        <w:spacing w:line="500" w:lineRule="exact"/>
        <w:ind w:leftChars="0"/>
        <w:rPr>
          <w:rFonts w:ascii="標楷體" w:eastAsia="標楷體" w:hAnsi="標楷體"/>
          <w:sz w:val="32"/>
          <w:szCs w:val="32"/>
        </w:rPr>
      </w:pPr>
      <w:r w:rsidRPr="009F5AD2">
        <w:rPr>
          <w:rFonts w:ascii="標楷體" w:eastAsia="標楷體" w:hAnsi="標楷體" w:hint="eastAsia"/>
          <w:sz w:val="32"/>
          <w:szCs w:val="32"/>
        </w:rPr>
        <w:t>依據IFRS 13.93(a)規定，重複性或非重複性衡量基礎之主要區分方式在於其衡量時點：</w:t>
      </w:r>
    </w:p>
    <w:p w:rsidR="00F87274" w:rsidRPr="009F5AD2" w:rsidRDefault="00F87274" w:rsidP="009F5AD2">
      <w:pPr>
        <w:pStyle w:val="a3"/>
        <w:numPr>
          <w:ilvl w:val="0"/>
          <w:numId w:val="3"/>
        </w:numPr>
        <w:spacing w:line="500" w:lineRule="exact"/>
        <w:ind w:leftChars="0"/>
        <w:rPr>
          <w:rFonts w:ascii="標楷體" w:eastAsia="標楷體" w:hAnsi="標楷體"/>
          <w:sz w:val="32"/>
          <w:szCs w:val="32"/>
        </w:rPr>
      </w:pPr>
      <w:r w:rsidRPr="009F5AD2">
        <w:rPr>
          <w:rFonts w:ascii="標楷體" w:eastAsia="標楷體" w:hAnsi="標楷體" w:hint="eastAsia"/>
          <w:sz w:val="32"/>
          <w:szCs w:val="32"/>
        </w:rPr>
        <w:t>資產或負債之重複性公允價值衡量，</w:t>
      </w:r>
      <w:r w:rsidR="00984D16" w:rsidRPr="009F5AD2">
        <w:rPr>
          <w:rFonts w:ascii="標楷體" w:eastAsia="標楷體" w:hAnsi="標楷體" w:hint="eastAsia"/>
          <w:sz w:val="32"/>
          <w:szCs w:val="32"/>
        </w:rPr>
        <w:t>是</w:t>
      </w:r>
      <w:r w:rsidRPr="009F5AD2">
        <w:rPr>
          <w:rFonts w:ascii="標楷體" w:eastAsia="標楷體" w:hAnsi="標楷體" w:hint="eastAsia"/>
          <w:sz w:val="32"/>
          <w:szCs w:val="32"/>
        </w:rPr>
        <w:t>指其他國際財務報導準則所規定或允許</w:t>
      </w:r>
      <w:r w:rsidRPr="009F5AD2">
        <w:rPr>
          <w:rFonts w:ascii="標楷體" w:eastAsia="標楷體" w:hAnsi="標楷體" w:hint="eastAsia"/>
          <w:b/>
          <w:sz w:val="32"/>
          <w:szCs w:val="32"/>
        </w:rPr>
        <w:t>於每一報導期間結束日</w:t>
      </w:r>
      <w:r w:rsidRPr="009F5AD2">
        <w:rPr>
          <w:rFonts w:ascii="標楷體" w:eastAsia="標楷體" w:hAnsi="標楷體" w:hint="eastAsia"/>
          <w:sz w:val="32"/>
          <w:szCs w:val="32"/>
        </w:rPr>
        <w:t>在</w:t>
      </w:r>
      <w:r w:rsidR="00485B54" w:rsidRPr="009F5AD2">
        <w:rPr>
          <w:rFonts w:ascii="標楷體" w:eastAsia="標楷體" w:hAnsi="標楷體" w:hint="eastAsia"/>
          <w:sz w:val="32"/>
          <w:szCs w:val="32"/>
        </w:rPr>
        <w:t>資產負債</w:t>
      </w:r>
      <w:r w:rsidRPr="009F5AD2">
        <w:rPr>
          <w:rFonts w:ascii="標楷體" w:eastAsia="標楷體" w:hAnsi="標楷體" w:hint="eastAsia"/>
          <w:sz w:val="32"/>
          <w:szCs w:val="32"/>
        </w:rPr>
        <w:t>表中之公允價值衡量。</w:t>
      </w:r>
      <w:r w:rsidR="00485B54" w:rsidRPr="009F5AD2">
        <w:rPr>
          <w:rFonts w:ascii="標楷體" w:eastAsia="標楷體" w:hAnsi="標楷體" w:hint="eastAsia"/>
          <w:sz w:val="32"/>
          <w:szCs w:val="32"/>
        </w:rPr>
        <w:t>例如依據IAS 39分類為公允價值透過損益之金融資產之公允價值，將須於每一報導期間結束日進行衡量。</w:t>
      </w:r>
      <w:proofErr w:type="gramStart"/>
      <w:r w:rsidR="00485B54" w:rsidRPr="009F5AD2">
        <w:rPr>
          <w:rFonts w:ascii="標楷體" w:eastAsia="標楷體" w:hAnsi="標楷體" w:hint="eastAsia"/>
          <w:sz w:val="32"/>
          <w:szCs w:val="32"/>
        </w:rPr>
        <w:t>其他釋例包括</w:t>
      </w:r>
      <w:proofErr w:type="gramEnd"/>
      <w:r w:rsidR="00485B54" w:rsidRPr="009F5AD2">
        <w:rPr>
          <w:rFonts w:ascii="標楷體" w:eastAsia="標楷體" w:hAnsi="標楷體" w:hint="eastAsia"/>
          <w:sz w:val="32"/>
          <w:szCs w:val="32"/>
        </w:rPr>
        <w:t>依據IFRIC-17「分配非現金資產予業主」，按公允價值衡量之分配非現金資產予股東之負債。</w:t>
      </w:r>
    </w:p>
    <w:p w:rsidR="00F87274" w:rsidRPr="009F5AD2" w:rsidRDefault="00F87274" w:rsidP="009F5AD2">
      <w:pPr>
        <w:pStyle w:val="a3"/>
        <w:numPr>
          <w:ilvl w:val="0"/>
          <w:numId w:val="3"/>
        </w:numPr>
        <w:spacing w:line="500" w:lineRule="exact"/>
        <w:ind w:leftChars="0"/>
        <w:rPr>
          <w:rFonts w:ascii="標楷體" w:eastAsia="標楷體" w:hAnsi="標楷體"/>
          <w:sz w:val="32"/>
          <w:szCs w:val="32"/>
        </w:rPr>
      </w:pPr>
      <w:r w:rsidRPr="009F5AD2">
        <w:rPr>
          <w:rFonts w:ascii="標楷體" w:eastAsia="標楷體" w:hAnsi="標楷體" w:hint="eastAsia"/>
          <w:sz w:val="32"/>
          <w:szCs w:val="32"/>
        </w:rPr>
        <w:t>資產或負債之非重複性公允價值衡量，</w:t>
      </w:r>
      <w:r w:rsidR="00984D16" w:rsidRPr="009F5AD2">
        <w:rPr>
          <w:rFonts w:ascii="標楷體" w:eastAsia="標楷體" w:hAnsi="標楷體" w:hint="eastAsia"/>
          <w:sz w:val="32"/>
          <w:szCs w:val="32"/>
        </w:rPr>
        <w:t>是</w:t>
      </w:r>
      <w:r w:rsidRPr="009F5AD2">
        <w:rPr>
          <w:rFonts w:ascii="標楷體" w:eastAsia="標楷體" w:hAnsi="標楷體" w:hint="eastAsia"/>
          <w:sz w:val="32"/>
          <w:szCs w:val="32"/>
        </w:rPr>
        <w:t>指其他國際財務報導準則所規定或允許</w:t>
      </w:r>
      <w:r w:rsidRPr="009F5AD2">
        <w:rPr>
          <w:rFonts w:ascii="標楷體" w:eastAsia="標楷體" w:hAnsi="標楷體" w:hint="eastAsia"/>
          <w:b/>
          <w:sz w:val="32"/>
          <w:szCs w:val="32"/>
        </w:rPr>
        <w:t>於特定情況(即特定日期)下</w:t>
      </w:r>
      <w:r w:rsidRPr="009F5AD2">
        <w:rPr>
          <w:rFonts w:ascii="標楷體" w:eastAsia="標楷體" w:hAnsi="標楷體" w:hint="eastAsia"/>
          <w:sz w:val="32"/>
          <w:szCs w:val="32"/>
        </w:rPr>
        <w:t>，在</w:t>
      </w:r>
      <w:r w:rsidR="00485B54" w:rsidRPr="009F5AD2">
        <w:rPr>
          <w:rFonts w:ascii="標楷體" w:eastAsia="標楷體" w:hAnsi="標楷體" w:hint="eastAsia"/>
          <w:sz w:val="32"/>
          <w:szCs w:val="32"/>
        </w:rPr>
        <w:t>資產負債</w:t>
      </w:r>
      <w:r w:rsidRPr="009F5AD2">
        <w:rPr>
          <w:rFonts w:ascii="標楷體" w:eastAsia="標楷體" w:hAnsi="標楷體" w:hint="eastAsia"/>
          <w:sz w:val="32"/>
          <w:szCs w:val="32"/>
        </w:rPr>
        <w:t>表中之公允價值衡量。</w:t>
      </w:r>
    </w:p>
    <w:p w:rsidR="009E6ADD" w:rsidRPr="009F5AD2" w:rsidRDefault="00F87274" w:rsidP="009F5AD2">
      <w:pPr>
        <w:pStyle w:val="a3"/>
        <w:numPr>
          <w:ilvl w:val="0"/>
          <w:numId w:val="2"/>
        </w:numPr>
        <w:spacing w:line="500" w:lineRule="exact"/>
        <w:ind w:leftChars="0"/>
        <w:rPr>
          <w:rFonts w:ascii="標楷體" w:eastAsia="標楷體" w:hAnsi="標楷體"/>
          <w:sz w:val="32"/>
          <w:szCs w:val="32"/>
        </w:rPr>
      </w:pPr>
      <w:r w:rsidRPr="009F5AD2">
        <w:rPr>
          <w:rFonts w:ascii="標楷體" w:eastAsia="標楷體" w:hAnsi="標楷體" w:hint="eastAsia"/>
          <w:sz w:val="32"/>
          <w:szCs w:val="32"/>
        </w:rPr>
        <w:lastRenderedPageBreak/>
        <w:t>資產或負債之非重複性公允價值衡量，例如當企業依IFRS 5</w:t>
      </w:r>
      <w:r w:rsidR="009E6ADD" w:rsidRPr="009F5AD2">
        <w:rPr>
          <w:rFonts w:ascii="標楷體" w:eastAsia="標楷體" w:hAnsi="標楷體" w:hint="eastAsia"/>
          <w:sz w:val="32"/>
          <w:szCs w:val="32"/>
        </w:rPr>
        <w:t>「待出售非流動資產及停業單位」</w:t>
      </w:r>
      <w:r w:rsidRPr="009F5AD2">
        <w:rPr>
          <w:rFonts w:ascii="標楷體" w:eastAsia="標楷體" w:hAnsi="標楷體" w:hint="eastAsia"/>
          <w:sz w:val="32"/>
          <w:szCs w:val="32"/>
        </w:rPr>
        <w:t>之規定，按公允價值減出售成本衡量待出售資產，因該資產之公允價值減出售成本低於其</w:t>
      </w:r>
      <w:proofErr w:type="gramStart"/>
      <w:r w:rsidRPr="009F5AD2">
        <w:rPr>
          <w:rFonts w:ascii="標楷體" w:eastAsia="標楷體" w:hAnsi="標楷體" w:hint="eastAsia"/>
          <w:sz w:val="32"/>
          <w:szCs w:val="32"/>
        </w:rPr>
        <w:t>帳面</w:t>
      </w:r>
      <w:proofErr w:type="gramEnd"/>
      <w:r w:rsidRPr="009F5AD2">
        <w:rPr>
          <w:rFonts w:ascii="標楷體" w:eastAsia="標楷體" w:hAnsi="標楷體" w:hint="eastAsia"/>
          <w:sz w:val="32"/>
          <w:szCs w:val="32"/>
        </w:rPr>
        <w:t>金額。</w:t>
      </w:r>
      <w:r w:rsidR="00485B54" w:rsidRPr="009F5AD2">
        <w:rPr>
          <w:rFonts w:ascii="標楷體" w:eastAsia="標楷體" w:hAnsi="標楷體" w:hint="eastAsia"/>
          <w:sz w:val="32"/>
          <w:szCs w:val="32"/>
        </w:rPr>
        <w:t>由於此等資產之公允價值減出售成本僅於其低於該等資產之</w:t>
      </w:r>
      <w:proofErr w:type="gramStart"/>
      <w:r w:rsidR="00485B54" w:rsidRPr="009F5AD2">
        <w:rPr>
          <w:rFonts w:ascii="標楷體" w:eastAsia="標楷體" w:hAnsi="標楷體" w:hint="eastAsia"/>
          <w:sz w:val="32"/>
          <w:szCs w:val="32"/>
        </w:rPr>
        <w:t>帳面</w:t>
      </w:r>
      <w:proofErr w:type="gramEnd"/>
      <w:r w:rsidR="00485B54" w:rsidRPr="009F5AD2">
        <w:rPr>
          <w:rFonts w:ascii="標楷體" w:eastAsia="標楷體" w:hAnsi="標楷體" w:hint="eastAsia"/>
          <w:sz w:val="32"/>
          <w:szCs w:val="32"/>
        </w:rPr>
        <w:t>金額時認列於資產負債表，故該公允價值為非重複性。</w:t>
      </w:r>
    </w:p>
    <w:p w:rsidR="00F87274" w:rsidRPr="009F5AD2" w:rsidRDefault="00485B54" w:rsidP="009F5AD2">
      <w:pPr>
        <w:pStyle w:val="a3"/>
        <w:numPr>
          <w:ilvl w:val="0"/>
          <w:numId w:val="2"/>
        </w:numPr>
        <w:spacing w:line="500" w:lineRule="exact"/>
        <w:ind w:leftChars="0"/>
        <w:rPr>
          <w:rFonts w:ascii="標楷體" w:eastAsia="標楷體" w:hAnsi="標楷體"/>
          <w:sz w:val="32"/>
          <w:szCs w:val="32"/>
        </w:rPr>
      </w:pPr>
      <w:r w:rsidRPr="009F5AD2">
        <w:rPr>
          <w:rFonts w:ascii="標楷體" w:eastAsia="標楷體" w:hAnsi="標楷體" w:hint="eastAsia"/>
          <w:sz w:val="32"/>
          <w:szCs w:val="32"/>
        </w:rPr>
        <w:t>然而須留意的是，</w:t>
      </w:r>
      <w:r w:rsidR="009E6ADD" w:rsidRPr="009F5AD2">
        <w:rPr>
          <w:rFonts w:ascii="標楷體" w:eastAsia="標楷體" w:hAnsi="標楷體" w:hint="eastAsia"/>
          <w:sz w:val="32"/>
          <w:szCs w:val="32"/>
        </w:rPr>
        <w:t>待出售非流動資產群組中並非所有資產與負債均依據IFRS 5之規定，按公允價值減出售成本與</w:t>
      </w:r>
      <w:proofErr w:type="gramStart"/>
      <w:r w:rsidR="009E6ADD" w:rsidRPr="009F5AD2">
        <w:rPr>
          <w:rFonts w:ascii="標楷體" w:eastAsia="標楷體" w:hAnsi="標楷體" w:hint="eastAsia"/>
          <w:sz w:val="32"/>
          <w:szCs w:val="32"/>
        </w:rPr>
        <w:t>帳面</w:t>
      </w:r>
      <w:proofErr w:type="gramEnd"/>
      <w:r w:rsidR="009E6ADD" w:rsidRPr="009F5AD2">
        <w:rPr>
          <w:rFonts w:ascii="標楷體" w:eastAsia="標楷體" w:hAnsi="標楷體" w:hint="eastAsia"/>
          <w:sz w:val="32"/>
          <w:szCs w:val="32"/>
        </w:rPr>
        <w:t>金額孰低衡量。若待出售非流動資產群組中包括依據IAS 39「金融工具：認列與衡量」分類為備供出售之金融資產，企業將依據IAS 39之規定，持續按公允價值透過其他綜合損益衡量此等資產。此等公允價值衡量將持續為重複性。</w:t>
      </w:r>
    </w:p>
    <w:p w:rsidR="00F87274" w:rsidRPr="009F5AD2" w:rsidRDefault="00F87274" w:rsidP="009F5AD2">
      <w:pPr>
        <w:pStyle w:val="a3"/>
        <w:numPr>
          <w:ilvl w:val="0"/>
          <w:numId w:val="2"/>
        </w:numPr>
        <w:spacing w:line="500" w:lineRule="exact"/>
        <w:ind w:leftChars="0"/>
        <w:rPr>
          <w:rFonts w:ascii="標楷體" w:eastAsia="標楷體" w:hAnsi="標楷體"/>
          <w:sz w:val="32"/>
          <w:szCs w:val="32"/>
        </w:rPr>
      </w:pPr>
      <w:r w:rsidRPr="009F5AD2">
        <w:rPr>
          <w:rFonts w:ascii="標楷體" w:eastAsia="標楷體" w:hAnsi="標楷體" w:hint="eastAsia"/>
          <w:sz w:val="32"/>
          <w:szCs w:val="32"/>
        </w:rPr>
        <w:t>資產或負債之重複性公允價值衡量</w:t>
      </w:r>
      <w:r w:rsidR="00B54CE2" w:rsidRPr="009F5AD2">
        <w:rPr>
          <w:rFonts w:ascii="標楷體" w:eastAsia="標楷體" w:hAnsi="標楷體" w:hint="eastAsia"/>
          <w:sz w:val="32"/>
          <w:szCs w:val="32"/>
        </w:rPr>
        <w:t>可能涉及之投資標的</w:t>
      </w:r>
      <w:r w:rsidRPr="009F5AD2">
        <w:rPr>
          <w:rFonts w:ascii="標楷體" w:eastAsia="標楷體" w:hAnsi="標楷體" w:hint="eastAsia"/>
          <w:sz w:val="32"/>
          <w:szCs w:val="32"/>
        </w:rPr>
        <w:t>，</w:t>
      </w:r>
      <w:r w:rsidR="00485B54" w:rsidRPr="009F5AD2">
        <w:rPr>
          <w:rFonts w:ascii="標楷體" w:eastAsia="標楷體" w:hAnsi="標楷體" w:hint="eastAsia"/>
          <w:sz w:val="32"/>
          <w:szCs w:val="32"/>
        </w:rPr>
        <w:t>尚包括</w:t>
      </w:r>
      <w:r w:rsidRPr="009F5AD2">
        <w:rPr>
          <w:rFonts w:ascii="標楷體" w:eastAsia="標楷體" w:hAnsi="標楷體" w:hint="eastAsia"/>
          <w:sz w:val="32"/>
          <w:szCs w:val="32"/>
        </w:rPr>
        <w:t>如權益證券、</w:t>
      </w:r>
      <w:bookmarkStart w:id="0" w:name="_GoBack"/>
      <w:bookmarkEnd w:id="0"/>
      <w:r w:rsidRPr="009F5AD2">
        <w:rPr>
          <w:rFonts w:ascii="標楷體" w:eastAsia="標楷體" w:hAnsi="標楷體" w:hint="eastAsia"/>
          <w:sz w:val="32"/>
          <w:szCs w:val="32"/>
        </w:rPr>
        <w:t>債務證券、避險基金投資、衍生工具及投資性不動產</w:t>
      </w:r>
      <w:r w:rsidR="009E6ADD" w:rsidRPr="009F5AD2">
        <w:rPr>
          <w:rFonts w:ascii="標楷體" w:eastAsia="標楷體" w:hAnsi="標楷體" w:hint="eastAsia"/>
          <w:sz w:val="32"/>
          <w:szCs w:val="32"/>
        </w:rPr>
        <w:t>等</w:t>
      </w:r>
      <w:r w:rsidRPr="009F5AD2">
        <w:rPr>
          <w:rFonts w:ascii="標楷體" w:eastAsia="標楷體" w:hAnsi="標楷體" w:hint="eastAsia"/>
          <w:sz w:val="32"/>
          <w:szCs w:val="32"/>
        </w:rPr>
        <w:t>。</w:t>
      </w:r>
    </w:p>
    <w:p w:rsidR="00F87274" w:rsidRPr="009F5AD2" w:rsidRDefault="00F87274" w:rsidP="009F5AD2">
      <w:pPr>
        <w:pStyle w:val="a3"/>
        <w:numPr>
          <w:ilvl w:val="0"/>
          <w:numId w:val="2"/>
        </w:numPr>
        <w:spacing w:line="500" w:lineRule="exact"/>
        <w:ind w:leftChars="0"/>
        <w:rPr>
          <w:rFonts w:ascii="標楷體" w:eastAsia="標楷體" w:hAnsi="標楷體"/>
          <w:sz w:val="32"/>
          <w:szCs w:val="32"/>
        </w:rPr>
      </w:pPr>
      <w:bookmarkStart w:id="1" w:name="para_70045454"/>
      <w:bookmarkStart w:id="2" w:name="para_70045456"/>
      <w:bookmarkEnd w:id="1"/>
      <w:bookmarkEnd w:id="2"/>
      <w:r w:rsidRPr="009F5AD2">
        <w:rPr>
          <w:rFonts w:ascii="標楷體" w:eastAsia="標楷體" w:hAnsi="標楷體" w:hint="eastAsia"/>
          <w:sz w:val="32"/>
          <w:szCs w:val="32"/>
        </w:rPr>
        <w:t>相關釋例如下：</w:t>
      </w:r>
    </w:p>
    <w:p w:rsidR="00F87274" w:rsidRPr="009F5AD2" w:rsidRDefault="00F87274" w:rsidP="009F5AD2">
      <w:pPr>
        <w:autoSpaceDE w:val="0"/>
        <w:autoSpaceDN w:val="0"/>
        <w:adjustRightInd w:val="0"/>
        <w:snapToGrid w:val="0"/>
        <w:spacing w:before="200" w:after="200" w:line="500" w:lineRule="exact"/>
        <w:ind w:leftChars="177" w:left="425"/>
        <w:jc w:val="both"/>
        <w:rPr>
          <w:rFonts w:ascii="標楷體" w:eastAsia="標楷體" w:hAnsi="標楷體" w:cs="Times New Roman"/>
          <w:b/>
          <w:bCs/>
          <w:color w:val="000000"/>
          <w:kern w:val="0"/>
          <w:sz w:val="32"/>
          <w:szCs w:val="32"/>
          <w:lang w:val="en-GB"/>
        </w:rPr>
      </w:pPr>
      <w:proofErr w:type="gramStart"/>
      <w:r w:rsidRPr="009F5AD2">
        <w:rPr>
          <w:rFonts w:ascii="標楷體" w:eastAsia="標楷體" w:hAnsi="標楷體" w:cs="Times New Roman" w:hint="eastAsia"/>
          <w:b/>
          <w:bCs/>
          <w:color w:val="000000"/>
          <w:kern w:val="0"/>
          <w:sz w:val="32"/>
          <w:szCs w:val="32"/>
          <w:lang w:val="en-GB"/>
        </w:rPr>
        <w:t>釋例－按</w:t>
      </w:r>
      <w:proofErr w:type="gramEnd"/>
      <w:r w:rsidRPr="009F5AD2">
        <w:rPr>
          <w:rFonts w:ascii="標楷體" w:eastAsia="標楷體" w:hAnsi="標楷體" w:cs="Times New Roman" w:hint="eastAsia"/>
          <w:b/>
          <w:bCs/>
          <w:color w:val="000000"/>
          <w:kern w:val="0"/>
          <w:sz w:val="32"/>
          <w:szCs w:val="32"/>
          <w:lang w:val="en-GB"/>
        </w:rPr>
        <w:t>公允價值衡量之資產</w:t>
      </w:r>
    </w:p>
    <w:p w:rsidR="00F87274" w:rsidRDefault="00F87274" w:rsidP="009F5AD2">
      <w:pPr>
        <w:pStyle w:val="a3"/>
        <w:spacing w:line="500" w:lineRule="exact"/>
        <w:ind w:leftChars="0" w:firstLineChars="202" w:firstLine="646"/>
        <w:rPr>
          <w:rFonts w:ascii="標楷體" w:eastAsia="標楷體" w:hAnsi="標楷體" w:cs="Times New Roman"/>
          <w:kern w:val="0"/>
          <w:sz w:val="32"/>
          <w:szCs w:val="32"/>
          <w:lang w:val="en-GB"/>
        </w:rPr>
      </w:pPr>
      <w:r w:rsidRPr="009F5AD2">
        <w:rPr>
          <w:rFonts w:ascii="標楷體" w:eastAsia="標楷體" w:hAnsi="標楷體" w:cs="Times New Roman" w:hint="eastAsia"/>
          <w:kern w:val="0"/>
          <w:sz w:val="32"/>
          <w:szCs w:val="32"/>
          <w:lang w:val="en-GB"/>
        </w:rPr>
        <w:t>對於</w:t>
      </w:r>
      <w:r w:rsidRPr="009F5AD2">
        <w:rPr>
          <w:rFonts w:ascii="標楷體" w:eastAsia="標楷體" w:hAnsi="標楷體" w:hint="eastAsia"/>
          <w:sz w:val="32"/>
          <w:szCs w:val="32"/>
        </w:rPr>
        <w:t>報導</w:t>
      </w:r>
      <w:r w:rsidRPr="009F5AD2">
        <w:rPr>
          <w:rFonts w:ascii="標楷體" w:eastAsia="標楷體" w:hAnsi="標楷體" w:cs="Times New Roman" w:hint="eastAsia"/>
          <w:kern w:val="0"/>
          <w:sz w:val="32"/>
          <w:szCs w:val="32"/>
          <w:lang w:val="en-GB"/>
        </w:rPr>
        <w:t>期間</w:t>
      </w:r>
      <w:proofErr w:type="gramStart"/>
      <w:r w:rsidRPr="009F5AD2">
        <w:rPr>
          <w:rFonts w:ascii="標楷體" w:eastAsia="標楷體" w:hAnsi="標楷體" w:cs="Times New Roman" w:hint="eastAsia"/>
          <w:kern w:val="0"/>
          <w:sz w:val="32"/>
          <w:szCs w:val="32"/>
          <w:lang w:val="en-GB"/>
        </w:rPr>
        <w:t>結束日按公允</w:t>
      </w:r>
      <w:proofErr w:type="gramEnd"/>
      <w:r w:rsidRPr="009F5AD2">
        <w:rPr>
          <w:rFonts w:ascii="標楷體" w:eastAsia="標楷體" w:hAnsi="標楷體" w:cs="Times New Roman" w:hint="eastAsia"/>
          <w:kern w:val="0"/>
          <w:sz w:val="32"/>
          <w:szCs w:val="32"/>
          <w:lang w:val="en-GB"/>
        </w:rPr>
        <w:t>價值衡量之資產及負債，</w:t>
      </w:r>
      <w:r w:rsidR="00984D16" w:rsidRPr="009F5AD2">
        <w:rPr>
          <w:rFonts w:ascii="標楷體" w:eastAsia="標楷體" w:hAnsi="標楷體" w:cs="Times New Roman" w:hint="eastAsia"/>
          <w:kern w:val="0"/>
          <w:sz w:val="32"/>
          <w:szCs w:val="32"/>
          <w:lang w:val="en-GB"/>
        </w:rPr>
        <w:t>IFRS 13</w:t>
      </w:r>
      <w:r w:rsidRPr="009F5AD2">
        <w:rPr>
          <w:rFonts w:ascii="標楷體" w:eastAsia="標楷體" w:hAnsi="標楷體" w:cs="Times New Roman" w:hint="eastAsia"/>
          <w:kern w:val="0"/>
          <w:sz w:val="32"/>
          <w:szCs w:val="32"/>
          <w:lang w:val="en-GB"/>
        </w:rPr>
        <w:t>規定</w:t>
      </w:r>
      <w:r w:rsidRPr="009F5AD2">
        <w:rPr>
          <w:rFonts w:ascii="標楷體" w:eastAsia="標楷體" w:hAnsi="標楷體" w:cs="Times New Roman" w:hint="eastAsia"/>
          <w:color w:val="000000"/>
          <w:kern w:val="0"/>
          <w:sz w:val="32"/>
          <w:szCs w:val="32"/>
          <w:lang w:val="en-GB"/>
        </w:rPr>
        <w:t>每一類別資產及負債之</w:t>
      </w:r>
      <w:r w:rsidRPr="009F5AD2">
        <w:rPr>
          <w:rFonts w:ascii="標楷體" w:eastAsia="標楷體" w:hAnsi="標楷體" w:cs="Times New Roman" w:hint="eastAsia"/>
          <w:kern w:val="0"/>
          <w:sz w:val="32"/>
          <w:szCs w:val="32"/>
          <w:lang w:val="en-GB"/>
        </w:rPr>
        <w:t>有關</w:t>
      </w:r>
      <w:r w:rsidRPr="009F5AD2">
        <w:rPr>
          <w:rFonts w:ascii="標楷體" w:eastAsia="標楷體" w:hAnsi="標楷體" w:cs="Times New Roman" w:hint="eastAsia"/>
          <w:color w:val="000000"/>
          <w:kern w:val="0"/>
          <w:sz w:val="32"/>
          <w:szCs w:val="32"/>
          <w:lang w:val="en-GB"/>
        </w:rPr>
        <w:t>公允價值衡量之量化揭露</w:t>
      </w:r>
      <w:r w:rsidRPr="009F5AD2">
        <w:rPr>
          <w:rFonts w:ascii="標楷體" w:eastAsia="標楷體" w:hAnsi="標楷體" w:cs="Times New Roman" w:hint="eastAsia"/>
          <w:kern w:val="0"/>
          <w:sz w:val="32"/>
          <w:szCs w:val="32"/>
          <w:lang w:val="en-GB"/>
        </w:rPr>
        <w:t>。企業可能對資產揭露下列</w:t>
      </w:r>
      <w:r w:rsidR="00984D16" w:rsidRPr="009F5AD2">
        <w:rPr>
          <w:rFonts w:ascii="標楷體" w:eastAsia="標楷體" w:hAnsi="標楷體" w:cs="Times New Roman" w:hint="eastAsia"/>
          <w:kern w:val="0"/>
          <w:sz w:val="32"/>
          <w:szCs w:val="32"/>
          <w:lang w:val="en-GB"/>
        </w:rPr>
        <w:t>資訊</w:t>
      </w:r>
      <w:r w:rsidRPr="009F5AD2">
        <w:rPr>
          <w:rFonts w:ascii="標楷體" w:eastAsia="標楷體" w:hAnsi="標楷體" w:cs="Times New Roman" w:hint="eastAsia"/>
          <w:kern w:val="0"/>
          <w:sz w:val="32"/>
          <w:szCs w:val="32"/>
          <w:lang w:val="en-GB"/>
        </w:rPr>
        <w:t>以遵循</w:t>
      </w:r>
      <w:r w:rsidR="00984D16" w:rsidRPr="009F5AD2">
        <w:rPr>
          <w:rFonts w:ascii="標楷體" w:eastAsia="標楷體" w:hAnsi="標楷體" w:cs="Times New Roman" w:hint="eastAsia"/>
          <w:kern w:val="0"/>
          <w:sz w:val="32"/>
          <w:szCs w:val="32"/>
          <w:lang w:val="en-GB"/>
        </w:rPr>
        <w:t>IFRS 13</w:t>
      </w:r>
      <w:r w:rsidRPr="009F5AD2">
        <w:rPr>
          <w:rFonts w:ascii="標楷體" w:eastAsia="標楷體" w:hAnsi="標楷體" w:cs="Times New Roman" w:hint="eastAsia"/>
          <w:kern w:val="0"/>
          <w:sz w:val="32"/>
          <w:szCs w:val="32"/>
          <w:lang w:val="en-GB"/>
        </w:rPr>
        <w:t>第93段(a)及(b)之規定：</w:t>
      </w:r>
    </w:p>
    <w:p w:rsidR="009F5AD2" w:rsidRDefault="009F5AD2" w:rsidP="009F5AD2">
      <w:pPr>
        <w:pStyle w:val="a3"/>
        <w:spacing w:line="500" w:lineRule="exact"/>
        <w:ind w:leftChars="0" w:firstLineChars="202" w:firstLine="646"/>
        <w:rPr>
          <w:rFonts w:ascii="標楷體" w:eastAsia="標楷體" w:hAnsi="標楷體" w:cs="Times New Roman"/>
          <w:kern w:val="0"/>
          <w:sz w:val="32"/>
          <w:szCs w:val="32"/>
          <w:lang w:val="en-GB"/>
        </w:rPr>
      </w:pPr>
    </w:p>
    <w:p w:rsidR="009F5AD2" w:rsidRDefault="009F5AD2" w:rsidP="009F5AD2">
      <w:pPr>
        <w:pStyle w:val="a3"/>
        <w:spacing w:line="500" w:lineRule="exact"/>
        <w:ind w:leftChars="0" w:firstLineChars="202" w:firstLine="646"/>
        <w:rPr>
          <w:rFonts w:ascii="標楷體" w:eastAsia="標楷體" w:hAnsi="標楷體" w:cs="Times New Roman"/>
          <w:kern w:val="0"/>
          <w:sz w:val="32"/>
          <w:szCs w:val="32"/>
          <w:lang w:val="en-GB"/>
        </w:rPr>
      </w:pPr>
    </w:p>
    <w:p w:rsidR="009F5AD2" w:rsidRDefault="009F5AD2" w:rsidP="009F5AD2">
      <w:pPr>
        <w:pStyle w:val="a3"/>
        <w:spacing w:line="500" w:lineRule="exact"/>
        <w:ind w:leftChars="0" w:firstLineChars="202" w:firstLine="646"/>
        <w:rPr>
          <w:rFonts w:ascii="標楷體" w:eastAsia="標楷體" w:hAnsi="標楷體" w:cs="Times New Roman"/>
          <w:kern w:val="0"/>
          <w:sz w:val="32"/>
          <w:szCs w:val="32"/>
          <w:lang w:val="en-GB"/>
        </w:rPr>
      </w:pPr>
    </w:p>
    <w:p w:rsidR="009F5AD2" w:rsidRPr="009F5AD2" w:rsidRDefault="009F5AD2" w:rsidP="009F5AD2">
      <w:pPr>
        <w:pStyle w:val="a3"/>
        <w:spacing w:line="500" w:lineRule="exact"/>
        <w:ind w:leftChars="0" w:firstLineChars="202" w:firstLine="646"/>
        <w:rPr>
          <w:rFonts w:ascii="標楷體" w:eastAsia="標楷體" w:hAnsi="標楷體" w:cs="Times New Roman"/>
          <w:kern w:val="0"/>
          <w:sz w:val="32"/>
          <w:szCs w:val="32"/>
          <w:lang w:val="en-GB"/>
        </w:rPr>
      </w:pPr>
    </w:p>
    <w:tbl>
      <w:tblPr>
        <w:tblW w:w="5000" w:type="pct"/>
        <w:tblInd w:w="525" w:type="dxa"/>
        <w:tblCellMar>
          <w:top w:w="30" w:type="dxa"/>
          <w:left w:w="30" w:type="dxa"/>
          <w:bottom w:w="20" w:type="dxa"/>
          <w:right w:w="20" w:type="dxa"/>
        </w:tblCellMar>
        <w:tblLook w:val="0000"/>
      </w:tblPr>
      <w:tblGrid>
        <w:gridCol w:w="107"/>
        <w:gridCol w:w="288"/>
        <w:gridCol w:w="94"/>
        <w:gridCol w:w="129"/>
        <w:gridCol w:w="2325"/>
        <w:gridCol w:w="79"/>
        <w:gridCol w:w="339"/>
        <w:gridCol w:w="755"/>
        <w:gridCol w:w="70"/>
        <w:gridCol w:w="486"/>
        <w:gridCol w:w="625"/>
        <w:gridCol w:w="78"/>
        <w:gridCol w:w="486"/>
        <w:gridCol w:w="516"/>
        <w:gridCol w:w="81"/>
        <w:gridCol w:w="491"/>
        <w:gridCol w:w="636"/>
        <w:gridCol w:w="81"/>
        <w:gridCol w:w="634"/>
        <w:gridCol w:w="56"/>
      </w:tblGrid>
      <w:tr w:rsidR="005F674F" w:rsidRPr="009F5AD2" w:rsidTr="00FD7E39">
        <w:trPr>
          <w:trHeight w:val="340"/>
          <w:tblHeader/>
        </w:trPr>
        <w:tc>
          <w:tcPr>
            <w:tcW w:w="54" w:type="pct"/>
            <w:tcBorders>
              <w:top w:val="single" w:sz="4" w:space="0" w:color="000000"/>
              <w:left w:val="single" w:sz="4" w:space="0" w:color="000000"/>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rPr>
                <w:rFonts w:ascii="標楷體" w:eastAsia="標楷體" w:hAnsi="標楷體" w:cs="Times New Roman"/>
                <w:color w:val="000000"/>
                <w:w w:val="0"/>
                <w:kern w:val="0"/>
                <w:sz w:val="23"/>
                <w:szCs w:val="23"/>
                <w:lang w:val="en-GB"/>
              </w:rPr>
            </w:pPr>
          </w:p>
        </w:tc>
        <w:tc>
          <w:tcPr>
            <w:tcW w:w="2384" w:type="pct"/>
            <w:gridSpan w:val="7"/>
            <w:tcBorders>
              <w:top w:val="single" w:sz="4" w:space="0" w:color="000000"/>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line="140" w:lineRule="atLeast"/>
              <w:rPr>
                <w:rFonts w:ascii="標楷體" w:eastAsia="標楷體" w:hAnsi="標楷體" w:cs="Times New Roman"/>
                <w:color w:val="000000"/>
                <w:w w:val="0"/>
                <w:kern w:val="0"/>
                <w:sz w:val="23"/>
                <w:szCs w:val="23"/>
                <w:lang w:val="en-GB"/>
              </w:rPr>
            </w:pPr>
            <w:proofErr w:type="gramStart"/>
            <w:r w:rsidRPr="009F5AD2">
              <w:rPr>
                <w:rFonts w:ascii="標楷體" w:eastAsia="標楷體" w:hAnsi="標楷體" w:cs="Times New Roman" w:hint="eastAsia"/>
                <w:kern w:val="0"/>
                <w:sz w:val="23"/>
                <w:szCs w:val="23"/>
              </w:rPr>
              <w:t>（</w:t>
            </w:r>
            <w:proofErr w:type="gramEnd"/>
            <w:r w:rsidR="00984D16" w:rsidRPr="009F5AD2">
              <w:rPr>
                <w:rFonts w:ascii="標楷體" w:eastAsia="標楷體" w:hAnsi="標楷體" w:cs="Times New Roman" w:hint="eastAsia"/>
                <w:kern w:val="0"/>
                <w:sz w:val="23"/>
                <w:szCs w:val="23"/>
              </w:rPr>
              <w:t>單位</w:t>
            </w:r>
            <w:r w:rsidRPr="009F5AD2">
              <w:rPr>
                <w:rFonts w:ascii="標楷體" w:eastAsia="標楷體" w:hAnsi="標楷體" w:cs="Times New Roman" w:hint="eastAsia"/>
                <w:kern w:val="0"/>
                <w:sz w:val="23"/>
                <w:szCs w:val="23"/>
              </w:rPr>
              <w:t>：</w:t>
            </w:r>
            <w:r w:rsidR="005F674F" w:rsidRPr="009F5AD2">
              <w:rPr>
                <w:rFonts w:ascii="標楷體" w:eastAsia="標楷體" w:hAnsi="標楷體" w:cs="Times New Roman" w:hint="eastAsia"/>
                <w:kern w:val="0"/>
                <w:sz w:val="23"/>
                <w:szCs w:val="23"/>
              </w:rPr>
              <w:t>仟</w:t>
            </w:r>
            <w:r w:rsidR="00984D16" w:rsidRPr="009F5AD2">
              <w:rPr>
                <w:rFonts w:ascii="標楷體" w:eastAsia="標楷體" w:hAnsi="標楷體" w:cs="Times New Roman" w:hint="eastAsia"/>
                <w:kern w:val="0"/>
                <w:sz w:val="23"/>
                <w:szCs w:val="23"/>
              </w:rPr>
              <w:t>元</w:t>
            </w:r>
            <w:proofErr w:type="gramStart"/>
            <w:r w:rsidRPr="009F5AD2">
              <w:rPr>
                <w:rFonts w:ascii="標楷體" w:eastAsia="標楷體" w:hAnsi="標楷體" w:cs="Times New Roman" w:hint="eastAsia"/>
                <w:kern w:val="0"/>
                <w:sz w:val="23"/>
                <w:szCs w:val="23"/>
              </w:rPr>
              <w:t>）</w:t>
            </w:r>
            <w:proofErr w:type="gramEnd"/>
          </w:p>
        </w:tc>
        <w:tc>
          <w:tcPr>
            <w:tcW w:w="44" w:type="pct"/>
            <w:tcBorders>
              <w:top w:val="single" w:sz="4" w:space="0" w:color="000000"/>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40" w:line="160" w:lineRule="atLeast"/>
              <w:jc w:val="center"/>
              <w:rPr>
                <w:rFonts w:ascii="標楷體" w:eastAsia="標楷體" w:hAnsi="標楷體" w:cs="Times New Roman"/>
                <w:b/>
                <w:bCs/>
                <w:color w:val="000000"/>
                <w:w w:val="0"/>
                <w:kern w:val="0"/>
                <w:sz w:val="23"/>
                <w:szCs w:val="23"/>
                <w:lang w:val="en-GB"/>
              </w:rPr>
            </w:pPr>
          </w:p>
        </w:tc>
        <w:tc>
          <w:tcPr>
            <w:tcW w:w="2052" w:type="pct"/>
            <w:gridSpan w:val="8"/>
            <w:tcBorders>
              <w:top w:val="single" w:sz="4" w:space="0" w:color="000000"/>
              <w:left w:val="nil"/>
              <w:bottom w:val="single" w:sz="4" w:space="0" w:color="000000"/>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40" w:line="160" w:lineRule="atLeast"/>
              <w:jc w:val="center"/>
              <w:rPr>
                <w:rFonts w:ascii="標楷體" w:eastAsia="標楷體" w:hAnsi="標楷體" w:cs="Times New Roman"/>
                <w:color w:val="000000"/>
                <w:w w:val="0"/>
                <w:kern w:val="0"/>
                <w:sz w:val="23"/>
                <w:szCs w:val="23"/>
                <w:lang w:val="en-GB"/>
              </w:rPr>
            </w:pPr>
            <w:r w:rsidRPr="009F5AD2">
              <w:rPr>
                <w:rFonts w:ascii="標楷體" w:eastAsia="標楷體" w:hAnsi="標楷體" w:cs="Times New Roman"/>
                <w:color w:val="000000"/>
                <w:kern w:val="0"/>
                <w:sz w:val="23"/>
                <w:szCs w:val="23"/>
                <w:lang w:val="en-GB"/>
              </w:rPr>
              <w:t>報導期間結束日公允價值衡量</w:t>
            </w:r>
            <w:r w:rsidRPr="009F5AD2">
              <w:rPr>
                <w:rFonts w:ascii="標楷體" w:eastAsia="標楷體" w:hAnsi="標楷體" w:cs="Times New Roman" w:hint="eastAsia"/>
                <w:color w:val="000000"/>
                <w:kern w:val="0"/>
                <w:sz w:val="23"/>
                <w:szCs w:val="23"/>
                <w:lang w:val="en-GB"/>
              </w:rPr>
              <w:t>，</w:t>
            </w:r>
            <w:r w:rsidRPr="009F5AD2">
              <w:rPr>
                <w:rFonts w:ascii="標楷體" w:eastAsia="標楷體" w:hAnsi="標楷體" w:cs="Times New Roman"/>
                <w:color w:val="000000"/>
                <w:kern w:val="0"/>
                <w:sz w:val="23"/>
                <w:szCs w:val="23"/>
                <w:lang w:val="en-GB"/>
              </w:rPr>
              <w:t>採用</w:t>
            </w:r>
          </w:p>
        </w:tc>
        <w:tc>
          <w:tcPr>
            <w:tcW w:w="51" w:type="pct"/>
            <w:tcBorders>
              <w:top w:val="single" w:sz="4" w:space="0" w:color="000000"/>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rPr>
                <w:rFonts w:ascii="標楷體" w:eastAsia="標楷體" w:hAnsi="標楷體" w:cs="Times New Roman"/>
                <w:color w:val="000000"/>
                <w:w w:val="0"/>
                <w:kern w:val="0"/>
                <w:sz w:val="23"/>
                <w:szCs w:val="23"/>
                <w:lang w:val="en-GB"/>
              </w:rPr>
            </w:pPr>
          </w:p>
        </w:tc>
        <w:tc>
          <w:tcPr>
            <w:tcW w:w="382" w:type="pct"/>
            <w:tcBorders>
              <w:top w:val="single" w:sz="4" w:space="0" w:color="000000"/>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rPr>
                <w:rFonts w:ascii="標楷體" w:eastAsia="標楷體" w:hAnsi="標楷體" w:cs="Times New Roman"/>
                <w:color w:val="000000"/>
                <w:w w:val="0"/>
                <w:kern w:val="0"/>
                <w:sz w:val="23"/>
                <w:szCs w:val="23"/>
                <w:lang w:val="en-GB"/>
              </w:rPr>
            </w:pPr>
          </w:p>
        </w:tc>
        <w:tc>
          <w:tcPr>
            <w:tcW w:w="34" w:type="pct"/>
            <w:tcBorders>
              <w:top w:val="single" w:sz="4" w:space="0" w:color="000000"/>
              <w:left w:val="nil"/>
              <w:bottom w:val="nil"/>
              <w:right w:val="single" w:sz="4" w:space="0" w:color="000000"/>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rPr>
                <w:rFonts w:ascii="標楷體" w:eastAsia="標楷體" w:hAnsi="標楷體" w:cs="Times New Roman"/>
                <w:color w:val="000000"/>
                <w:w w:val="0"/>
                <w:kern w:val="0"/>
                <w:sz w:val="23"/>
                <w:szCs w:val="23"/>
                <w:lang w:val="en-GB"/>
              </w:rPr>
            </w:pPr>
          </w:p>
        </w:tc>
      </w:tr>
      <w:tr w:rsidR="00822F92" w:rsidRPr="009F5AD2" w:rsidTr="00FD7E39">
        <w:trPr>
          <w:trHeight w:val="262"/>
          <w:tblHeader/>
        </w:trPr>
        <w:tc>
          <w:tcPr>
            <w:tcW w:w="54" w:type="pct"/>
            <w:tcBorders>
              <w:top w:val="nil"/>
              <w:left w:val="single" w:sz="4" w:space="0" w:color="000000"/>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rPr>
                <w:rFonts w:ascii="標楷體" w:eastAsia="標楷體" w:hAnsi="標楷體" w:cs="Times New Roman"/>
                <w:color w:val="000000"/>
                <w:w w:val="0"/>
                <w:kern w:val="0"/>
                <w:sz w:val="23"/>
                <w:szCs w:val="23"/>
                <w:lang w:val="en-GB"/>
              </w:rPr>
            </w:pPr>
          </w:p>
        </w:tc>
        <w:tc>
          <w:tcPr>
            <w:tcW w:w="1676" w:type="pct"/>
            <w:gridSpan w:val="4"/>
            <w:tcBorders>
              <w:top w:val="nil"/>
              <w:left w:val="nil"/>
              <w:bottom w:val="single" w:sz="4" w:space="0" w:color="000000"/>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line="140" w:lineRule="atLeast"/>
              <w:rPr>
                <w:rFonts w:ascii="標楷體" w:eastAsia="標楷體" w:hAnsi="標楷體" w:cs="Times New Roman"/>
                <w:color w:val="000000"/>
                <w:w w:val="0"/>
                <w:kern w:val="0"/>
                <w:sz w:val="23"/>
                <w:szCs w:val="23"/>
                <w:lang w:val="en-GB"/>
              </w:rPr>
            </w:pPr>
            <w:r w:rsidRPr="009F5AD2">
              <w:rPr>
                <w:rFonts w:ascii="標楷體" w:eastAsia="標楷體" w:hAnsi="標楷體" w:cs="Times New Roman"/>
                <w:color w:val="000000"/>
                <w:kern w:val="0"/>
                <w:sz w:val="23"/>
                <w:szCs w:val="23"/>
                <w:lang w:val="en-GB"/>
              </w:rPr>
              <w:t>說明</w:t>
            </w:r>
          </w:p>
        </w:tc>
        <w:tc>
          <w:tcPr>
            <w:tcW w:w="50"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40" w:line="160" w:lineRule="atLeast"/>
              <w:jc w:val="right"/>
              <w:rPr>
                <w:rFonts w:ascii="標楷體" w:eastAsia="標楷體" w:hAnsi="標楷體" w:cs="Times New Roman"/>
                <w:color w:val="000000"/>
                <w:w w:val="0"/>
                <w:kern w:val="0"/>
                <w:sz w:val="23"/>
                <w:szCs w:val="23"/>
                <w:lang w:val="en-GB" w:eastAsia="en-GB"/>
              </w:rPr>
            </w:pPr>
          </w:p>
        </w:tc>
        <w:tc>
          <w:tcPr>
            <w:tcW w:w="658" w:type="pct"/>
            <w:gridSpan w:val="2"/>
            <w:tcBorders>
              <w:top w:val="nil"/>
              <w:left w:val="nil"/>
              <w:bottom w:val="single" w:sz="4" w:space="0" w:color="000000"/>
              <w:right w:val="nil"/>
            </w:tcBorders>
            <w:tcMar>
              <w:top w:w="30" w:type="dxa"/>
              <w:left w:w="30" w:type="dxa"/>
              <w:bottom w:w="20" w:type="dxa"/>
              <w:right w:w="20" w:type="dxa"/>
            </w:tcMar>
            <w:vAlign w:val="bottom"/>
          </w:tcPr>
          <w:p w:rsidR="00F87274" w:rsidRPr="009F5AD2" w:rsidRDefault="00984D16" w:rsidP="00984D16">
            <w:pPr>
              <w:widowControl/>
              <w:suppressAutoHyphens/>
              <w:autoSpaceDE w:val="0"/>
              <w:autoSpaceDN w:val="0"/>
              <w:adjustRightInd w:val="0"/>
              <w:spacing w:after="20" w:line="160" w:lineRule="atLeast"/>
              <w:jc w:val="right"/>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color w:val="000000"/>
                <w:kern w:val="0"/>
                <w:sz w:val="23"/>
                <w:szCs w:val="23"/>
                <w:lang w:val="en-GB" w:eastAsia="en-GB"/>
              </w:rPr>
              <w:t>1</w:t>
            </w:r>
            <w:r w:rsidR="00F87274" w:rsidRPr="009F5AD2">
              <w:rPr>
                <w:rFonts w:ascii="標楷體" w:eastAsia="標楷體" w:hAnsi="標楷體" w:cs="Times New Roman"/>
                <w:color w:val="000000"/>
                <w:kern w:val="0"/>
                <w:sz w:val="23"/>
                <w:szCs w:val="23"/>
                <w:lang w:val="en-GB" w:eastAsia="en-GB"/>
              </w:rPr>
              <w:t>X</w:t>
            </w:r>
            <w:r w:rsidRPr="009F5AD2">
              <w:rPr>
                <w:rFonts w:ascii="標楷體" w:eastAsia="標楷體" w:hAnsi="標楷體" w:cs="Times New Roman" w:hint="eastAsia"/>
                <w:color w:val="000000"/>
                <w:kern w:val="0"/>
                <w:sz w:val="23"/>
                <w:szCs w:val="23"/>
                <w:lang w:val="en-GB" w:eastAsia="en-GB"/>
              </w:rPr>
              <w:t>4</w:t>
            </w:r>
            <w:r w:rsidR="00F87274" w:rsidRPr="009F5AD2">
              <w:rPr>
                <w:rFonts w:ascii="標楷體" w:eastAsia="標楷體" w:hAnsi="標楷體" w:cs="Times New Roman"/>
                <w:color w:val="000000"/>
                <w:kern w:val="0"/>
                <w:sz w:val="23"/>
                <w:szCs w:val="23"/>
                <w:lang w:val="en-GB" w:eastAsia="en-GB"/>
              </w:rPr>
              <w:t>/1</w:t>
            </w:r>
            <w:r w:rsidR="00F87274" w:rsidRPr="009F5AD2">
              <w:rPr>
                <w:rFonts w:ascii="標楷體" w:eastAsia="標楷體" w:hAnsi="標楷體" w:cs="Times New Roman" w:hint="eastAsia"/>
                <w:color w:val="000000"/>
                <w:kern w:val="0"/>
                <w:sz w:val="23"/>
                <w:szCs w:val="23"/>
                <w:lang w:val="en-GB"/>
              </w:rPr>
              <w:t>2</w:t>
            </w:r>
            <w:r w:rsidR="00F87274" w:rsidRPr="009F5AD2">
              <w:rPr>
                <w:rFonts w:ascii="標楷體" w:eastAsia="標楷體" w:hAnsi="標楷體" w:cs="Times New Roman"/>
                <w:color w:val="000000"/>
                <w:kern w:val="0"/>
                <w:sz w:val="23"/>
                <w:szCs w:val="23"/>
                <w:lang w:val="en-GB" w:eastAsia="en-GB"/>
              </w:rPr>
              <w:t>/</w:t>
            </w:r>
            <w:r w:rsidR="00F87274" w:rsidRPr="009F5AD2">
              <w:rPr>
                <w:rFonts w:ascii="標楷體" w:eastAsia="標楷體" w:hAnsi="標楷體" w:cs="Times New Roman" w:hint="eastAsia"/>
                <w:color w:val="000000"/>
                <w:kern w:val="0"/>
                <w:sz w:val="23"/>
                <w:szCs w:val="23"/>
                <w:lang w:val="en-GB"/>
              </w:rPr>
              <w:t>31</w:t>
            </w:r>
          </w:p>
        </w:tc>
        <w:tc>
          <w:tcPr>
            <w:tcW w:w="44"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eastAsia="en-GB"/>
              </w:rPr>
            </w:pPr>
          </w:p>
        </w:tc>
        <w:tc>
          <w:tcPr>
            <w:tcW w:w="667" w:type="pct"/>
            <w:gridSpan w:val="2"/>
            <w:tcBorders>
              <w:top w:val="single" w:sz="4" w:space="0" w:color="auto"/>
              <w:left w:val="nil"/>
              <w:bottom w:val="single" w:sz="4" w:space="0" w:color="000000"/>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spacing w:val="-2"/>
                <w:kern w:val="0"/>
                <w:sz w:val="23"/>
                <w:szCs w:val="23"/>
                <w:lang w:val="en-GB"/>
              </w:rPr>
            </w:pPr>
            <w:r w:rsidRPr="009F5AD2">
              <w:rPr>
                <w:rFonts w:ascii="標楷體" w:eastAsia="標楷體" w:hAnsi="標楷體" w:cs="Times New Roman"/>
                <w:color w:val="000000"/>
                <w:spacing w:val="-2"/>
                <w:kern w:val="0"/>
                <w:sz w:val="23"/>
                <w:szCs w:val="23"/>
                <w:lang w:val="en-GB"/>
              </w:rPr>
              <w:t xml:space="preserve">相同資產於活絡市場之報價 </w:t>
            </w:r>
          </w:p>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rPr>
            </w:pPr>
            <w:r w:rsidRPr="009F5AD2">
              <w:rPr>
                <w:rFonts w:ascii="標楷體" w:eastAsia="標楷體" w:hAnsi="標楷體" w:cs="Times New Roman"/>
                <w:color w:val="000000"/>
                <w:spacing w:val="-2"/>
                <w:kern w:val="0"/>
                <w:sz w:val="23"/>
                <w:szCs w:val="23"/>
                <w:lang w:val="en-GB" w:eastAsia="en-GB"/>
              </w:rPr>
              <w:t>(第1等級)</w:t>
            </w:r>
          </w:p>
        </w:tc>
        <w:tc>
          <w:tcPr>
            <w:tcW w:w="50" w:type="pct"/>
            <w:tcBorders>
              <w:top w:val="single" w:sz="4" w:space="0" w:color="auto"/>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eastAsia="en-GB"/>
              </w:rPr>
            </w:pPr>
          </w:p>
        </w:tc>
        <w:tc>
          <w:tcPr>
            <w:tcW w:w="604" w:type="pct"/>
            <w:gridSpan w:val="2"/>
            <w:tcBorders>
              <w:top w:val="single" w:sz="4" w:space="0" w:color="auto"/>
              <w:left w:val="nil"/>
              <w:bottom w:val="single" w:sz="4" w:space="0" w:color="000000"/>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spacing w:val="-2"/>
                <w:kern w:val="0"/>
                <w:sz w:val="23"/>
                <w:szCs w:val="23"/>
                <w:lang w:val="en-GB"/>
              </w:rPr>
            </w:pPr>
            <w:r w:rsidRPr="009F5AD2">
              <w:rPr>
                <w:rFonts w:ascii="標楷體" w:eastAsia="標楷體" w:hAnsi="標楷體" w:cs="Times New Roman"/>
                <w:color w:val="000000"/>
                <w:spacing w:val="-2"/>
                <w:kern w:val="0"/>
                <w:sz w:val="23"/>
                <w:szCs w:val="23"/>
                <w:lang w:val="en-GB"/>
              </w:rPr>
              <w:t xml:space="preserve">重大之其他可觀察輸入值 </w:t>
            </w:r>
          </w:p>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rPr>
            </w:pPr>
            <w:r w:rsidRPr="009F5AD2">
              <w:rPr>
                <w:rFonts w:ascii="標楷體" w:eastAsia="標楷體" w:hAnsi="標楷體" w:cs="Times New Roman"/>
                <w:color w:val="000000"/>
                <w:spacing w:val="-2"/>
                <w:kern w:val="0"/>
                <w:sz w:val="23"/>
                <w:szCs w:val="23"/>
                <w:lang w:val="en-GB"/>
              </w:rPr>
              <w:t>(第2等級)</w:t>
            </w:r>
          </w:p>
        </w:tc>
        <w:tc>
          <w:tcPr>
            <w:tcW w:w="51" w:type="pct"/>
            <w:tcBorders>
              <w:top w:val="single" w:sz="4" w:space="0" w:color="auto"/>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rPr>
            </w:pPr>
          </w:p>
        </w:tc>
        <w:tc>
          <w:tcPr>
            <w:tcW w:w="679" w:type="pct"/>
            <w:gridSpan w:val="2"/>
            <w:tcBorders>
              <w:top w:val="single" w:sz="4" w:space="0" w:color="auto"/>
              <w:left w:val="nil"/>
              <w:bottom w:val="single" w:sz="4" w:space="0" w:color="000000"/>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spacing w:val="-3"/>
                <w:kern w:val="0"/>
                <w:sz w:val="23"/>
                <w:szCs w:val="23"/>
                <w:lang w:val="en-GB"/>
              </w:rPr>
            </w:pPr>
            <w:r w:rsidRPr="009F5AD2">
              <w:rPr>
                <w:rFonts w:ascii="標楷體" w:eastAsia="標楷體" w:hAnsi="標楷體" w:cs="Times New Roman"/>
                <w:color w:val="000000"/>
                <w:spacing w:val="-3"/>
                <w:kern w:val="0"/>
                <w:sz w:val="23"/>
                <w:szCs w:val="23"/>
                <w:lang w:val="en-GB"/>
              </w:rPr>
              <w:t>重大</w:t>
            </w:r>
            <w:r w:rsidRPr="009F5AD2">
              <w:rPr>
                <w:rFonts w:ascii="標楷體" w:eastAsia="標楷體" w:hAnsi="標楷體" w:cs="Times New Roman"/>
                <w:color w:val="000000"/>
                <w:spacing w:val="-2"/>
                <w:kern w:val="0"/>
                <w:sz w:val="23"/>
                <w:szCs w:val="23"/>
                <w:lang w:val="en-GB"/>
              </w:rPr>
              <w:t>之</w:t>
            </w:r>
            <w:r w:rsidRPr="009F5AD2">
              <w:rPr>
                <w:rFonts w:ascii="標楷體" w:eastAsia="標楷體" w:hAnsi="標楷體" w:cs="Times New Roman"/>
                <w:color w:val="000000"/>
                <w:spacing w:val="-3"/>
                <w:kern w:val="0"/>
                <w:sz w:val="23"/>
                <w:szCs w:val="23"/>
                <w:lang w:val="en-GB"/>
              </w:rPr>
              <w:t xml:space="preserve">不可觀察輸入值 </w:t>
            </w:r>
          </w:p>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rPr>
            </w:pPr>
            <w:r w:rsidRPr="009F5AD2">
              <w:rPr>
                <w:rFonts w:ascii="標楷體" w:eastAsia="標楷體" w:hAnsi="標楷體" w:cs="Times New Roman"/>
                <w:color w:val="000000"/>
                <w:spacing w:val="-3"/>
                <w:kern w:val="0"/>
                <w:sz w:val="23"/>
                <w:szCs w:val="23"/>
                <w:lang w:val="en-GB"/>
              </w:rPr>
              <w:t>(第3等級)</w:t>
            </w:r>
          </w:p>
        </w:tc>
        <w:tc>
          <w:tcPr>
            <w:tcW w:w="51"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382" w:type="pct"/>
            <w:tcBorders>
              <w:top w:val="nil"/>
              <w:left w:val="nil"/>
              <w:bottom w:val="single" w:sz="4" w:space="0" w:color="000000"/>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center"/>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color w:val="000000"/>
                <w:spacing w:val="-2"/>
                <w:kern w:val="0"/>
                <w:sz w:val="23"/>
                <w:szCs w:val="23"/>
                <w:lang w:val="en-GB"/>
              </w:rPr>
              <w:t>利益</w:t>
            </w:r>
            <w:r w:rsidRPr="009F5AD2">
              <w:rPr>
                <w:rFonts w:ascii="標楷體" w:eastAsia="標楷體" w:hAnsi="標楷體" w:cs="Times New Roman" w:hint="eastAsia"/>
                <w:color w:val="000000"/>
                <w:spacing w:val="-2"/>
                <w:kern w:val="0"/>
                <w:sz w:val="23"/>
                <w:szCs w:val="23"/>
                <w:lang w:val="en-GB"/>
              </w:rPr>
              <w:t>(</w:t>
            </w:r>
            <w:r w:rsidRPr="009F5AD2">
              <w:rPr>
                <w:rFonts w:ascii="標楷體" w:eastAsia="標楷體" w:hAnsi="標楷體" w:cs="Times New Roman"/>
                <w:color w:val="000000"/>
                <w:spacing w:val="-2"/>
                <w:kern w:val="0"/>
                <w:sz w:val="23"/>
                <w:szCs w:val="23"/>
                <w:lang w:val="en-GB"/>
              </w:rPr>
              <w:t>損失</w:t>
            </w:r>
            <w:r w:rsidRPr="009F5AD2">
              <w:rPr>
                <w:rFonts w:ascii="標楷體" w:eastAsia="標楷體" w:hAnsi="標楷體" w:cs="Times New Roman" w:hint="eastAsia"/>
                <w:color w:val="000000"/>
                <w:spacing w:val="-2"/>
                <w:kern w:val="0"/>
                <w:sz w:val="23"/>
                <w:szCs w:val="23"/>
                <w:lang w:val="en-GB"/>
              </w:rPr>
              <w:t>)</w:t>
            </w:r>
            <w:r w:rsidRPr="009F5AD2">
              <w:rPr>
                <w:rFonts w:ascii="標楷體" w:eastAsia="標楷體" w:hAnsi="標楷體" w:cs="Times New Roman"/>
                <w:color w:val="000000"/>
                <w:spacing w:val="-2"/>
                <w:kern w:val="0"/>
                <w:sz w:val="23"/>
                <w:szCs w:val="23"/>
                <w:lang w:val="en-GB"/>
              </w:rPr>
              <w:t>總額</w:t>
            </w:r>
            <w:r w:rsidRPr="009F5AD2">
              <w:rPr>
                <w:rFonts w:ascii="標楷體" w:eastAsia="標楷體" w:hAnsi="標楷體" w:cs="Times New Roman"/>
                <w:color w:val="000000"/>
                <w:spacing w:val="-2"/>
                <w:kern w:val="0"/>
                <w:sz w:val="23"/>
                <w:szCs w:val="23"/>
                <w:lang w:val="en-GB" w:eastAsia="en-GB"/>
              </w:rPr>
              <w:t xml:space="preserve"> </w:t>
            </w:r>
          </w:p>
        </w:tc>
        <w:tc>
          <w:tcPr>
            <w:tcW w:w="34" w:type="pct"/>
            <w:tcBorders>
              <w:top w:val="nil"/>
              <w:left w:val="nil"/>
              <w:bottom w:val="nil"/>
              <w:right w:val="single" w:sz="4" w:space="0" w:color="000000"/>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eastAsia="en-GB"/>
              </w:rPr>
            </w:pPr>
          </w:p>
        </w:tc>
      </w:tr>
      <w:tr w:rsidR="004D6C83" w:rsidRPr="009F5AD2" w:rsidTr="00FD7E39">
        <w:trPr>
          <w:trHeight w:hRule="exact" w:val="110"/>
        </w:trPr>
        <w:tc>
          <w:tcPr>
            <w:tcW w:w="54" w:type="pct"/>
            <w:tcBorders>
              <w:top w:val="nil"/>
              <w:left w:val="single" w:sz="4" w:space="0" w:color="000000"/>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rPr>
                <w:rFonts w:ascii="標楷體" w:eastAsia="標楷體" w:hAnsi="標楷體" w:cs="Times New Roman"/>
                <w:color w:val="000000"/>
                <w:w w:val="0"/>
                <w:kern w:val="0"/>
                <w:sz w:val="23"/>
                <w:szCs w:val="23"/>
                <w:lang w:val="en-GB" w:eastAsia="en-GB"/>
              </w:rPr>
            </w:pPr>
          </w:p>
        </w:tc>
        <w:tc>
          <w:tcPr>
            <w:tcW w:w="59"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rPr>
                <w:rFonts w:ascii="標楷體" w:eastAsia="標楷體" w:hAnsi="標楷體" w:cs="Times New Roman"/>
                <w:color w:val="000000"/>
                <w:w w:val="0"/>
                <w:kern w:val="0"/>
                <w:sz w:val="23"/>
                <w:szCs w:val="23"/>
                <w:lang w:val="en-GB" w:eastAsia="en-GB"/>
              </w:rPr>
            </w:pPr>
          </w:p>
        </w:tc>
        <w:tc>
          <w:tcPr>
            <w:tcW w:w="80"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rPr>
                <w:rFonts w:ascii="標楷體" w:eastAsia="標楷體" w:hAnsi="標楷體" w:cs="Times New Roman"/>
                <w:color w:val="000000"/>
                <w:w w:val="0"/>
                <w:kern w:val="0"/>
                <w:sz w:val="23"/>
                <w:szCs w:val="23"/>
                <w:lang w:val="en-GB" w:eastAsia="en-GB"/>
              </w:rPr>
            </w:pPr>
          </w:p>
        </w:tc>
        <w:tc>
          <w:tcPr>
            <w:tcW w:w="1394" w:type="pct"/>
            <w:tcBorders>
              <w:top w:val="single" w:sz="4" w:space="0" w:color="000000"/>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eastAsia="en-GB"/>
              </w:rPr>
            </w:pPr>
          </w:p>
        </w:tc>
        <w:tc>
          <w:tcPr>
            <w:tcW w:w="454" w:type="pct"/>
            <w:tcBorders>
              <w:top w:val="single" w:sz="4" w:space="0" w:color="000000"/>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44"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eastAsia="en-GB"/>
              </w:rPr>
            </w:pPr>
          </w:p>
        </w:tc>
        <w:tc>
          <w:tcPr>
            <w:tcW w:w="293" w:type="pct"/>
            <w:tcBorders>
              <w:top w:val="single" w:sz="4" w:space="0" w:color="000000"/>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eastAsia="en-GB"/>
              </w:rPr>
            </w:pPr>
          </w:p>
        </w:tc>
        <w:tc>
          <w:tcPr>
            <w:tcW w:w="375" w:type="pct"/>
            <w:tcBorders>
              <w:top w:val="single" w:sz="4" w:space="0" w:color="000000"/>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eastAsia="en-GB"/>
              </w:rPr>
            </w:pPr>
          </w:p>
        </w:tc>
        <w:tc>
          <w:tcPr>
            <w:tcW w:w="293" w:type="pct"/>
            <w:tcBorders>
              <w:top w:val="single" w:sz="4" w:space="0" w:color="000000"/>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eastAsia="en-GB"/>
              </w:rPr>
            </w:pPr>
          </w:p>
        </w:tc>
        <w:tc>
          <w:tcPr>
            <w:tcW w:w="311" w:type="pct"/>
            <w:tcBorders>
              <w:top w:val="single" w:sz="4" w:space="0" w:color="000000"/>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eastAsia="en-GB"/>
              </w:rPr>
            </w:pPr>
          </w:p>
        </w:tc>
        <w:tc>
          <w:tcPr>
            <w:tcW w:w="296" w:type="pct"/>
            <w:tcBorders>
              <w:top w:val="single" w:sz="4" w:space="0" w:color="000000"/>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eastAsia="en-GB"/>
              </w:rPr>
            </w:pPr>
          </w:p>
        </w:tc>
        <w:tc>
          <w:tcPr>
            <w:tcW w:w="383" w:type="pct"/>
            <w:tcBorders>
              <w:top w:val="single" w:sz="4" w:space="0" w:color="000000"/>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line="140" w:lineRule="atLeast"/>
              <w:jc w:val="center"/>
              <w:rPr>
                <w:rFonts w:ascii="標楷體" w:eastAsia="標楷體" w:hAnsi="標楷體" w:cs="Times New Roman"/>
                <w:color w:val="000000"/>
                <w:w w:val="0"/>
                <w:kern w:val="0"/>
                <w:sz w:val="23"/>
                <w:szCs w:val="23"/>
                <w:lang w:val="en-GB" w:eastAsia="en-GB"/>
              </w:rPr>
            </w:pPr>
          </w:p>
        </w:tc>
      </w:tr>
      <w:tr w:rsidR="00FD7E39" w:rsidRPr="009F5AD2" w:rsidTr="00FD7E39">
        <w:trPr>
          <w:trHeight w:val="200"/>
        </w:trPr>
        <w:tc>
          <w:tcPr>
            <w:tcW w:w="54" w:type="pct"/>
            <w:tcBorders>
              <w:top w:val="nil"/>
              <w:left w:val="single" w:sz="4" w:space="0" w:color="000000"/>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676" w:type="pct"/>
            <w:gridSpan w:val="4"/>
            <w:tcBorders>
              <w:top w:val="nil"/>
              <w:left w:val="nil"/>
              <w:bottom w:val="nil"/>
              <w:right w:val="nil"/>
            </w:tcBorders>
            <w:tcMar>
              <w:top w:w="30" w:type="dxa"/>
              <w:left w:w="30" w:type="dxa"/>
              <w:bottom w:w="20" w:type="dxa"/>
              <w:right w:w="20" w:type="dxa"/>
            </w:tcMar>
            <w:vAlign w:val="cente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b/>
                <w:bCs/>
                <w:color w:val="000000"/>
                <w:w w:val="0"/>
                <w:kern w:val="0"/>
                <w:sz w:val="23"/>
                <w:szCs w:val="23"/>
                <w:lang w:val="en-GB" w:eastAsia="en-GB"/>
              </w:rPr>
            </w:pPr>
            <w:r w:rsidRPr="009F5AD2">
              <w:rPr>
                <w:rFonts w:ascii="標楷體" w:eastAsia="標楷體" w:hAnsi="標楷體" w:cs="Times New Roman"/>
                <w:b/>
                <w:bCs/>
                <w:color w:val="000000"/>
                <w:kern w:val="0"/>
                <w:sz w:val="23"/>
                <w:szCs w:val="23"/>
                <w:lang w:val="en-GB"/>
              </w:rPr>
              <w:t>重複性公允價值衡量</w:t>
            </w:r>
          </w:p>
        </w:tc>
        <w:tc>
          <w:tcPr>
            <w:tcW w:w="50"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44"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100" w:line="18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100" w:line="180" w:lineRule="atLeast"/>
              <w:jc w:val="both"/>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100" w:line="180" w:lineRule="atLeast"/>
              <w:jc w:val="both"/>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4D6C83" w:rsidRPr="009F5AD2" w:rsidTr="00FD7E39">
        <w:trPr>
          <w:trHeight w:hRule="exact" w:val="100"/>
        </w:trPr>
        <w:tc>
          <w:tcPr>
            <w:tcW w:w="54" w:type="pct"/>
            <w:tcBorders>
              <w:top w:val="nil"/>
              <w:left w:val="single" w:sz="4" w:space="0" w:color="000000"/>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59"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100" w:line="180" w:lineRule="atLeast"/>
              <w:jc w:val="both"/>
              <w:rPr>
                <w:rFonts w:ascii="標楷體" w:eastAsia="標楷體" w:hAnsi="標楷體" w:cs="Times New Roman"/>
                <w:color w:val="000000"/>
                <w:w w:val="0"/>
                <w:kern w:val="0"/>
                <w:sz w:val="23"/>
                <w:szCs w:val="23"/>
                <w:lang w:val="en-GB" w:eastAsia="en-GB"/>
              </w:rPr>
            </w:pPr>
          </w:p>
        </w:tc>
        <w:tc>
          <w:tcPr>
            <w:tcW w:w="80"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100" w:line="180" w:lineRule="atLeast"/>
              <w:jc w:val="both"/>
              <w:rPr>
                <w:rFonts w:ascii="標楷體" w:eastAsia="標楷體" w:hAnsi="標楷體" w:cs="Times New Roman"/>
                <w:color w:val="000000"/>
                <w:w w:val="0"/>
                <w:kern w:val="0"/>
                <w:sz w:val="23"/>
                <w:szCs w:val="23"/>
                <w:lang w:val="en-GB" w:eastAsia="en-GB"/>
              </w:rPr>
            </w:pPr>
          </w:p>
        </w:tc>
        <w:tc>
          <w:tcPr>
            <w:tcW w:w="1394"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100" w:line="180" w:lineRule="atLeast"/>
              <w:jc w:val="both"/>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44"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100" w:line="18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100" w:line="180" w:lineRule="atLeast"/>
              <w:jc w:val="both"/>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100" w:line="180" w:lineRule="atLeast"/>
              <w:jc w:val="both"/>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val="200"/>
        </w:trPr>
        <w:tc>
          <w:tcPr>
            <w:tcW w:w="54" w:type="pct"/>
            <w:tcBorders>
              <w:top w:val="nil"/>
              <w:left w:val="single" w:sz="4" w:space="0" w:color="000000"/>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676" w:type="pct"/>
            <w:gridSpan w:val="4"/>
            <w:tcBorders>
              <w:top w:val="nil"/>
              <w:left w:val="nil"/>
              <w:bottom w:val="nil"/>
              <w:right w:val="nil"/>
            </w:tcBorders>
            <w:tcMar>
              <w:top w:w="30" w:type="dxa"/>
              <w:left w:w="30" w:type="dxa"/>
              <w:bottom w:w="20" w:type="dxa"/>
              <w:right w:w="20" w:type="dxa"/>
            </w:tcMar>
          </w:tcPr>
          <w:p w:rsidR="00F87274" w:rsidRPr="009F5AD2" w:rsidRDefault="004D6C83" w:rsidP="004D6C83">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color w:val="000000"/>
                <w:kern w:val="0"/>
                <w:sz w:val="23"/>
                <w:szCs w:val="23"/>
                <w:lang w:val="en-GB"/>
              </w:rPr>
              <w:t>透過損益按公允價值衡量之金融資產</w:t>
            </w:r>
          </w:p>
        </w:tc>
        <w:tc>
          <w:tcPr>
            <w:tcW w:w="50"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205"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454"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44"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29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375"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50"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604" w:type="pct"/>
            <w:gridSpan w:val="2"/>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679" w:type="pct"/>
            <w:gridSpan w:val="2"/>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100" w:line="180" w:lineRule="atLeast"/>
              <w:jc w:val="both"/>
              <w:rPr>
                <w:rFonts w:ascii="標楷體" w:eastAsia="標楷體" w:hAnsi="標楷體" w:cs="Times New Roman"/>
                <w:color w:val="000000"/>
                <w:w w:val="0"/>
                <w:kern w:val="0"/>
                <w:sz w:val="23"/>
                <w:szCs w:val="23"/>
                <w:lang w:val="en-GB"/>
              </w:rPr>
            </w:pPr>
          </w:p>
        </w:tc>
        <w:tc>
          <w:tcPr>
            <w:tcW w:w="382"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100" w:line="180" w:lineRule="atLeast"/>
              <w:jc w:val="both"/>
              <w:rPr>
                <w:rFonts w:ascii="標楷體" w:eastAsia="標楷體" w:hAnsi="標楷體" w:cs="Times New Roman"/>
                <w:color w:val="000000"/>
                <w:w w:val="0"/>
                <w:kern w:val="0"/>
                <w:sz w:val="23"/>
                <w:szCs w:val="23"/>
                <w:lang w:val="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r>
      <w:tr w:rsidR="004D6C83" w:rsidRPr="009F5AD2" w:rsidTr="00FD7E39">
        <w:trPr>
          <w:trHeight w:val="200"/>
        </w:trPr>
        <w:tc>
          <w:tcPr>
            <w:tcW w:w="54" w:type="pct"/>
            <w:tcBorders>
              <w:top w:val="nil"/>
              <w:left w:val="single" w:sz="4" w:space="0" w:color="000000"/>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p>
        </w:tc>
        <w:tc>
          <w:tcPr>
            <w:tcW w:w="1676" w:type="pct"/>
            <w:gridSpan w:val="4"/>
            <w:tcBorders>
              <w:top w:val="nil"/>
              <w:left w:val="nil"/>
              <w:bottom w:val="nil"/>
              <w:right w:val="nil"/>
            </w:tcBorders>
            <w:tcMar>
              <w:top w:w="30" w:type="dxa"/>
              <w:left w:w="30" w:type="dxa"/>
              <w:bottom w:w="20" w:type="dxa"/>
              <w:right w:w="20" w:type="dxa"/>
            </w:tcMar>
          </w:tcPr>
          <w:p w:rsidR="004D6C83" w:rsidRPr="009F5AD2" w:rsidRDefault="004D6C83" w:rsidP="004D6C83">
            <w:pPr>
              <w:widowControl/>
              <w:suppressAutoHyphens/>
              <w:autoSpaceDE w:val="0"/>
              <w:autoSpaceDN w:val="0"/>
              <w:adjustRightInd w:val="0"/>
              <w:spacing w:after="80" w:line="160" w:lineRule="atLeast"/>
              <w:rPr>
                <w:rFonts w:ascii="標楷體" w:eastAsia="標楷體" w:hAnsi="標楷體" w:cs="Times New Roman"/>
                <w:color w:val="000000"/>
                <w:kern w:val="0"/>
                <w:sz w:val="23"/>
                <w:szCs w:val="23"/>
                <w:lang w:val="en-GB"/>
              </w:rPr>
            </w:pPr>
            <w:r w:rsidRPr="009F5AD2">
              <w:rPr>
                <w:rFonts w:ascii="標楷體" w:eastAsia="標楷體" w:hAnsi="標楷體" w:cs="Times New Roman" w:hint="eastAsia"/>
                <w:color w:val="000000"/>
                <w:kern w:val="0"/>
                <w:sz w:val="23"/>
                <w:szCs w:val="23"/>
                <w:lang w:val="en-GB"/>
              </w:rPr>
              <w:t>指定透過損益按公允價值衡量之金融資產：</w:t>
            </w:r>
          </w:p>
        </w:tc>
        <w:tc>
          <w:tcPr>
            <w:tcW w:w="50"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205"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454"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44"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375"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50"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604" w:type="pct"/>
            <w:gridSpan w:val="2"/>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679" w:type="pct"/>
            <w:gridSpan w:val="2"/>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100" w:line="180" w:lineRule="atLeast"/>
              <w:jc w:val="both"/>
              <w:rPr>
                <w:rFonts w:ascii="標楷體" w:eastAsia="標楷體" w:hAnsi="標楷體" w:cs="Times New Roman"/>
                <w:color w:val="000000"/>
                <w:w w:val="0"/>
                <w:kern w:val="0"/>
                <w:sz w:val="23"/>
                <w:szCs w:val="23"/>
                <w:lang w:val="en-GB"/>
              </w:rPr>
            </w:pPr>
          </w:p>
        </w:tc>
        <w:tc>
          <w:tcPr>
            <w:tcW w:w="382"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100" w:line="180" w:lineRule="atLeast"/>
              <w:jc w:val="both"/>
              <w:rPr>
                <w:rFonts w:ascii="標楷體" w:eastAsia="標楷體" w:hAnsi="標楷體" w:cs="Times New Roman"/>
                <w:color w:val="000000"/>
                <w:w w:val="0"/>
                <w:kern w:val="0"/>
                <w:sz w:val="23"/>
                <w:szCs w:val="23"/>
                <w:lang w:val="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r>
      <w:tr w:rsidR="00FD7E39" w:rsidRPr="009F5AD2" w:rsidTr="00FD7E39">
        <w:trPr>
          <w:trHeight w:val="180"/>
        </w:trPr>
        <w:tc>
          <w:tcPr>
            <w:tcW w:w="54" w:type="pct"/>
            <w:tcBorders>
              <w:top w:val="nil"/>
              <w:left w:val="single" w:sz="4" w:space="0" w:color="000000"/>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p>
        </w:tc>
        <w:tc>
          <w:tcPr>
            <w:tcW w:w="144"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p>
        </w:tc>
        <w:tc>
          <w:tcPr>
            <w:tcW w:w="1532" w:type="pct"/>
            <w:gridSpan w:val="3"/>
            <w:tcBorders>
              <w:top w:val="nil"/>
              <w:left w:val="nil"/>
              <w:bottom w:val="nil"/>
              <w:right w:val="nil"/>
            </w:tcBorders>
            <w:tcMar>
              <w:top w:w="30" w:type="dxa"/>
              <w:left w:w="30" w:type="dxa"/>
              <w:bottom w:w="20" w:type="dxa"/>
              <w:right w:w="20" w:type="dxa"/>
            </w:tcMar>
          </w:tcPr>
          <w:p w:rsidR="00F87274" w:rsidRPr="009F5AD2" w:rsidRDefault="004D6C83" w:rsidP="004D6C83">
            <w:pPr>
              <w:widowControl/>
              <w:suppressAutoHyphens/>
              <w:autoSpaceDE w:val="0"/>
              <w:autoSpaceDN w:val="0"/>
              <w:adjustRightInd w:val="0"/>
              <w:spacing w:after="80" w:line="160" w:lineRule="atLeast"/>
              <w:rPr>
                <w:rFonts w:ascii="標楷體" w:eastAsia="標楷體" w:hAnsi="標楷體" w:cs="Times New Roman"/>
                <w:color w:val="000000"/>
                <w:kern w:val="0"/>
                <w:sz w:val="23"/>
                <w:szCs w:val="23"/>
                <w:lang w:val="en-GB"/>
              </w:rPr>
            </w:pPr>
            <w:r w:rsidRPr="009F5AD2">
              <w:rPr>
                <w:rFonts w:ascii="標楷體" w:eastAsia="標楷體" w:hAnsi="標楷體" w:cs="Times New Roman" w:hint="eastAsia"/>
                <w:color w:val="000000"/>
                <w:kern w:val="0"/>
                <w:sz w:val="23"/>
                <w:szCs w:val="23"/>
                <w:lang w:val="en-GB"/>
              </w:rPr>
              <w:t>結構式存款</w:t>
            </w:r>
          </w:p>
        </w:tc>
        <w:tc>
          <w:tcPr>
            <w:tcW w:w="50"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F87274"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color w:val="000000"/>
                <w:w w:val="0"/>
                <w:kern w:val="0"/>
                <w:sz w:val="23"/>
                <w:szCs w:val="23"/>
                <w:lang w:val="en-GB"/>
              </w:rPr>
              <w:t>27</w:t>
            </w:r>
            <w:r w:rsidR="005F674F" w:rsidRPr="009F5AD2">
              <w:rPr>
                <w:rFonts w:ascii="標楷體" w:eastAsia="標楷體" w:hAnsi="標楷體" w:cs="Times New Roman" w:hint="eastAsia"/>
                <w:color w:val="000000"/>
                <w:w w:val="0"/>
                <w:kern w:val="0"/>
                <w:sz w:val="23"/>
                <w:szCs w:val="23"/>
                <w:lang w:val="en-GB"/>
              </w:rPr>
              <w:t>6</w:t>
            </w:r>
          </w:p>
        </w:tc>
        <w:tc>
          <w:tcPr>
            <w:tcW w:w="336" w:type="pct"/>
            <w:gridSpan w:val="2"/>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375" w:type="pct"/>
            <w:tcBorders>
              <w:top w:val="nil"/>
              <w:left w:val="nil"/>
              <w:bottom w:val="nil"/>
              <w:right w:val="nil"/>
            </w:tcBorders>
            <w:tcMar>
              <w:top w:w="30" w:type="dxa"/>
              <w:left w:w="30" w:type="dxa"/>
              <w:bottom w:w="20" w:type="dxa"/>
              <w:right w:w="20" w:type="dxa"/>
            </w:tcMar>
            <w:vAlign w:val="bottom"/>
          </w:tcPr>
          <w:p w:rsidR="00F87274"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color w:val="000000"/>
                <w:w w:val="0"/>
                <w:kern w:val="0"/>
                <w:sz w:val="23"/>
                <w:szCs w:val="23"/>
                <w:lang w:val="en-GB"/>
              </w:rPr>
              <w:t>23</w:t>
            </w:r>
            <w:r w:rsidR="00F87274" w:rsidRPr="009F5AD2">
              <w:rPr>
                <w:rFonts w:ascii="標楷體" w:eastAsia="標楷體" w:hAnsi="標楷體" w:cs="Times New Roman"/>
                <w:color w:val="000000"/>
                <w:w w:val="0"/>
                <w:kern w:val="0"/>
                <w:sz w:val="23"/>
                <w:szCs w:val="23"/>
                <w:lang w:val="en-GB"/>
              </w:rPr>
              <w:t>0</w:t>
            </w:r>
          </w:p>
        </w:tc>
        <w:tc>
          <w:tcPr>
            <w:tcW w:w="50"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29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311" w:type="pct"/>
            <w:tcBorders>
              <w:top w:val="nil"/>
              <w:left w:val="nil"/>
              <w:bottom w:val="nil"/>
              <w:right w:val="nil"/>
            </w:tcBorders>
            <w:tcMar>
              <w:top w:w="30" w:type="dxa"/>
              <w:left w:w="30" w:type="dxa"/>
              <w:bottom w:w="20" w:type="dxa"/>
              <w:right w:w="20" w:type="dxa"/>
            </w:tcMar>
            <w:vAlign w:val="bottom"/>
          </w:tcPr>
          <w:p w:rsidR="00F87274" w:rsidRPr="009F5AD2" w:rsidRDefault="005F674F"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46</w:t>
            </w: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FD7E39" w:rsidRPr="009F5AD2" w:rsidTr="00FD7E39">
        <w:trPr>
          <w:trHeight w:val="180"/>
        </w:trPr>
        <w:tc>
          <w:tcPr>
            <w:tcW w:w="54" w:type="pct"/>
            <w:tcBorders>
              <w:top w:val="nil"/>
              <w:left w:val="single" w:sz="4" w:space="0" w:color="000000"/>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532" w:type="pct"/>
            <w:gridSpan w:val="3"/>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r w:rsidRPr="009F5AD2">
              <w:rPr>
                <w:rFonts w:ascii="標楷體" w:eastAsia="標楷體" w:hAnsi="標楷體" w:cs="Times New Roman"/>
                <w:color w:val="000000"/>
                <w:kern w:val="0"/>
                <w:sz w:val="23"/>
                <w:szCs w:val="23"/>
                <w:lang w:val="en-GB"/>
              </w:rPr>
              <w:t>其他</w:t>
            </w:r>
          </w:p>
        </w:tc>
        <w:tc>
          <w:tcPr>
            <w:tcW w:w="50"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single" w:sz="4" w:space="0" w:color="000000"/>
              <w:right w:val="nil"/>
            </w:tcBorders>
            <w:tcMar>
              <w:top w:w="30" w:type="dxa"/>
              <w:left w:w="30" w:type="dxa"/>
              <w:bottom w:w="20" w:type="dxa"/>
              <w:right w:w="20" w:type="dxa"/>
            </w:tcMar>
            <w:vAlign w:val="bottom"/>
          </w:tcPr>
          <w:p w:rsidR="00F87274" w:rsidRPr="009F5AD2" w:rsidRDefault="005F674F"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w w:val="0"/>
                <w:kern w:val="0"/>
                <w:sz w:val="23"/>
                <w:szCs w:val="23"/>
                <w:lang w:val="en-GB"/>
              </w:rPr>
              <w:t>30</w:t>
            </w:r>
          </w:p>
        </w:tc>
        <w:tc>
          <w:tcPr>
            <w:tcW w:w="44"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single" w:sz="4" w:space="0" w:color="000000"/>
              <w:right w:val="nil"/>
            </w:tcBorders>
            <w:tcMar>
              <w:top w:w="30" w:type="dxa"/>
              <w:left w:w="30" w:type="dxa"/>
              <w:bottom w:w="20" w:type="dxa"/>
              <w:right w:w="20" w:type="dxa"/>
            </w:tcMar>
            <w:vAlign w:val="bottom"/>
          </w:tcPr>
          <w:p w:rsidR="00F87274" w:rsidRPr="009F5AD2" w:rsidRDefault="005F674F"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30</w:t>
            </w:r>
          </w:p>
        </w:tc>
        <w:tc>
          <w:tcPr>
            <w:tcW w:w="50"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11" w:type="pct"/>
            <w:tcBorders>
              <w:top w:val="nil"/>
              <w:left w:val="nil"/>
              <w:bottom w:val="single" w:sz="4" w:space="0" w:color="000000"/>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4D6C83" w:rsidRPr="009F5AD2" w:rsidTr="00FD7E39">
        <w:trPr>
          <w:trHeight w:val="220"/>
        </w:trPr>
        <w:tc>
          <w:tcPr>
            <w:tcW w:w="54" w:type="pct"/>
            <w:tcBorders>
              <w:top w:val="nil"/>
              <w:left w:val="single" w:sz="4" w:space="0" w:color="000000"/>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59"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color w:val="000000"/>
                <w:kern w:val="0"/>
                <w:sz w:val="23"/>
                <w:szCs w:val="23"/>
                <w:lang w:val="en-GB" w:eastAsia="en-GB"/>
              </w:rPr>
              <w:t xml:space="preserve"> </w:t>
            </w:r>
          </w:p>
        </w:tc>
        <w:tc>
          <w:tcPr>
            <w:tcW w:w="80"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1394" w:type="pct"/>
            <w:tcBorders>
              <w:top w:val="nil"/>
              <w:left w:val="nil"/>
              <w:bottom w:val="nil"/>
              <w:right w:val="nil"/>
            </w:tcBorders>
            <w:tcMar>
              <w:top w:w="30" w:type="dxa"/>
              <w:left w:w="30" w:type="dxa"/>
              <w:bottom w:w="20" w:type="dxa"/>
              <w:right w:w="20" w:type="dxa"/>
            </w:tcMar>
          </w:tcPr>
          <w:p w:rsidR="00F87274" w:rsidRPr="009F5AD2" w:rsidRDefault="004D6C83" w:rsidP="004D6C83">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小計</w:t>
            </w:r>
          </w:p>
        </w:tc>
        <w:tc>
          <w:tcPr>
            <w:tcW w:w="50"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single" w:sz="4" w:space="0" w:color="000000"/>
              <w:left w:val="nil"/>
              <w:bottom w:val="double" w:sz="4" w:space="0" w:color="000000"/>
              <w:right w:val="nil"/>
            </w:tcBorders>
            <w:tcMar>
              <w:top w:w="30" w:type="dxa"/>
              <w:left w:w="30" w:type="dxa"/>
              <w:bottom w:w="20" w:type="dxa"/>
              <w:right w:w="20" w:type="dxa"/>
            </w:tcMar>
            <w:vAlign w:val="bottom"/>
          </w:tcPr>
          <w:p w:rsidR="00F87274" w:rsidRPr="009F5AD2" w:rsidRDefault="005F674F"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w w:val="0"/>
                <w:kern w:val="0"/>
                <w:sz w:val="23"/>
                <w:szCs w:val="23"/>
                <w:lang w:val="en-GB"/>
              </w:rPr>
              <w:t>306</w:t>
            </w:r>
          </w:p>
        </w:tc>
        <w:tc>
          <w:tcPr>
            <w:tcW w:w="44"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single" w:sz="4" w:space="0" w:color="000000"/>
              <w:left w:val="nil"/>
              <w:bottom w:val="double" w:sz="4" w:space="0" w:color="000000"/>
              <w:right w:val="nil"/>
            </w:tcBorders>
            <w:tcMar>
              <w:top w:w="30" w:type="dxa"/>
              <w:left w:w="30" w:type="dxa"/>
              <w:bottom w:w="20" w:type="dxa"/>
              <w:right w:w="20" w:type="dxa"/>
            </w:tcMar>
            <w:vAlign w:val="bottom"/>
          </w:tcPr>
          <w:p w:rsidR="00F87274" w:rsidRPr="009F5AD2" w:rsidRDefault="005F674F"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26</w:t>
            </w:r>
            <w:r w:rsidR="00F87274" w:rsidRPr="009F5AD2">
              <w:rPr>
                <w:rFonts w:ascii="標楷體" w:eastAsia="標楷體" w:hAnsi="標楷體" w:cs="Times New Roman"/>
                <w:color w:val="000000"/>
                <w:kern w:val="0"/>
                <w:sz w:val="23"/>
                <w:szCs w:val="23"/>
                <w:lang w:val="en-GB" w:eastAsia="en-GB"/>
              </w:rPr>
              <w:t>0</w:t>
            </w:r>
          </w:p>
        </w:tc>
        <w:tc>
          <w:tcPr>
            <w:tcW w:w="50"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single" w:sz="4" w:space="0" w:color="000000"/>
              <w:left w:val="nil"/>
              <w:bottom w:val="double" w:sz="4" w:space="0" w:color="000000"/>
              <w:right w:val="nil"/>
            </w:tcBorders>
            <w:tcMar>
              <w:top w:w="30" w:type="dxa"/>
              <w:left w:w="30" w:type="dxa"/>
              <w:bottom w:w="20" w:type="dxa"/>
              <w:right w:w="20" w:type="dxa"/>
            </w:tcMar>
            <w:vAlign w:val="bottom"/>
          </w:tcPr>
          <w:p w:rsidR="00F87274" w:rsidRPr="009F5AD2" w:rsidRDefault="005F674F" w:rsidP="00485B54">
            <w:pPr>
              <w:widowControl/>
              <w:suppressAutoHyphens/>
              <w:autoSpaceDE w:val="0"/>
              <w:autoSpaceDN w:val="0"/>
              <w:adjustRightInd w:val="0"/>
              <w:spacing w:after="100" w:line="18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46</w:t>
            </w: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4D6C83" w:rsidRPr="009F5AD2" w:rsidTr="00FD7E39">
        <w:trPr>
          <w:trHeight w:hRule="exact" w:val="100"/>
        </w:trPr>
        <w:tc>
          <w:tcPr>
            <w:tcW w:w="54" w:type="pct"/>
            <w:tcBorders>
              <w:top w:val="nil"/>
              <w:left w:val="single" w:sz="4" w:space="0" w:color="000000"/>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59"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80"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1394"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double" w:sz="4" w:space="0" w:color="000000"/>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44"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double" w:sz="4" w:space="0" w:color="000000"/>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FD7E39" w:rsidRPr="009F5AD2" w:rsidTr="00FD7E39">
        <w:trPr>
          <w:trHeight w:val="180"/>
        </w:trPr>
        <w:tc>
          <w:tcPr>
            <w:tcW w:w="54" w:type="pct"/>
            <w:tcBorders>
              <w:top w:val="nil"/>
              <w:left w:val="single" w:sz="4" w:space="0" w:color="000000"/>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676" w:type="pct"/>
            <w:gridSpan w:val="4"/>
            <w:tcBorders>
              <w:top w:val="nil"/>
              <w:left w:val="nil"/>
              <w:bottom w:val="nil"/>
              <w:right w:val="nil"/>
            </w:tcBorders>
            <w:tcMar>
              <w:top w:w="30" w:type="dxa"/>
              <w:left w:w="30" w:type="dxa"/>
              <w:bottom w:w="20" w:type="dxa"/>
              <w:right w:w="20" w:type="dxa"/>
            </w:tcMar>
          </w:tcPr>
          <w:p w:rsidR="00F87274" w:rsidRPr="009F5AD2" w:rsidRDefault="004D6C83"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color w:val="000000"/>
                <w:kern w:val="0"/>
                <w:sz w:val="23"/>
                <w:szCs w:val="23"/>
                <w:lang w:val="en-GB"/>
              </w:rPr>
              <w:t>持有供交易</w:t>
            </w:r>
            <w:r w:rsidR="00F87274" w:rsidRPr="009F5AD2">
              <w:rPr>
                <w:rFonts w:ascii="標楷體" w:eastAsia="標楷體" w:hAnsi="標楷體" w:cs="Times New Roman"/>
                <w:color w:val="000000"/>
                <w:kern w:val="0"/>
                <w:sz w:val="23"/>
                <w:szCs w:val="23"/>
                <w:lang w:val="en-GB"/>
              </w:rPr>
              <w:t>：</w:t>
            </w:r>
          </w:p>
        </w:tc>
        <w:tc>
          <w:tcPr>
            <w:tcW w:w="50"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4"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F87274" w:rsidRPr="009F5AD2" w:rsidRDefault="00F87274"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4D6C83" w:rsidRPr="009F5AD2" w:rsidTr="00FD7E39">
        <w:trPr>
          <w:trHeight w:val="180"/>
        </w:trPr>
        <w:tc>
          <w:tcPr>
            <w:tcW w:w="54" w:type="pct"/>
            <w:tcBorders>
              <w:top w:val="nil"/>
              <w:left w:val="single" w:sz="4" w:space="0" w:color="000000"/>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676" w:type="pct"/>
            <w:gridSpan w:val="4"/>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rPr>
                <w:rFonts w:ascii="標楷體" w:eastAsia="標楷體" w:hAnsi="標楷體" w:cs="Times New Roman"/>
                <w:color w:val="000000"/>
                <w:kern w:val="0"/>
                <w:sz w:val="23"/>
                <w:szCs w:val="23"/>
                <w:lang w:val="en-GB"/>
              </w:rPr>
            </w:pPr>
            <w:r w:rsidRPr="009F5AD2">
              <w:rPr>
                <w:rFonts w:ascii="標楷體" w:eastAsia="標楷體" w:hAnsi="標楷體" w:cs="Times New Roman" w:hint="eastAsia"/>
                <w:color w:val="000000"/>
                <w:kern w:val="0"/>
                <w:sz w:val="23"/>
                <w:szCs w:val="23"/>
                <w:lang w:val="en-GB"/>
              </w:rPr>
              <w:t>未指定避險關係之衍生金融工具</w:t>
            </w:r>
          </w:p>
        </w:tc>
        <w:tc>
          <w:tcPr>
            <w:tcW w:w="50"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205"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454"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44"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375"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50"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31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296"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383"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382"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r>
      <w:tr w:rsidR="004D6C83" w:rsidRPr="009F5AD2" w:rsidTr="00FD7E39">
        <w:trPr>
          <w:trHeight w:val="180"/>
        </w:trPr>
        <w:tc>
          <w:tcPr>
            <w:tcW w:w="54" w:type="pct"/>
            <w:tcBorders>
              <w:top w:val="nil"/>
              <w:left w:val="single" w:sz="4" w:space="0" w:color="000000"/>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p>
        </w:tc>
        <w:tc>
          <w:tcPr>
            <w:tcW w:w="144"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p>
        </w:tc>
        <w:tc>
          <w:tcPr>
            <w:tcW w:w="1532" w:type="pct"/>
            <w:gridSpan w:val="3"/>
            <w:tcBorders>
              <w:top w:val="nil"/>
              <w:left w:val="nil"/>
              <w:bottom w:val="nil"/>
              <w:right w:val="nil"/>
            </w:tcBorders>
            <w:tcMar>
              <w:top w:w="30" w:type="dxa"/>
              <w:left w:w="30" w:type="dxa"/>
              <w:bottom w:w="20" w:type="dxa"/>
              <w:right w:w="20" w:type="dxa"/>
            </w:tcMar>
          </w:tcPr>
          <w:p w:rsidR="004D6C83" w:rsidRPr="009F5AD2" w:rsidRDefault="00FD7E39" w:rsidP="00A21856">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color w:val="000000"/>
                <w:w w:val="0"/>
                <w:kern w:val="0"/>
                <w:sz w:val="23"/>
                <w:szCs w:val="23"/>
                <w:lang w:val="en-GB"/>
              </w:rPr>
              <w:t>遠期</w:t>
            </w:r>
            <w:r w:rsidR="004D6C83" w:rsidRPr="009F5AD2">
              <w:rPr>
                <w:rFonts w:ascii="標楷體" w:eastAsia="標楷體" w:hAnsi="標楷體" w:cs="Times New Roman"/>
                <w:color w:val="000000"/>
                <w:w w:val="0"/>
                <w:kern w:val="0"/>
                <w:sz w:val="23"/>
                <w:szCs w:val="23"/>
                <w:lang w:val="en-GB"/>
              </w:rPr>
              <w:t>外匯合約</w:t>
            </w:r>
          </w:p>
        </w:tc>
        <w:tc>
          <w:tcPr>
            <w:tcW w:w="50" w:type="pct"/>
            <w:tcBorders>
              <w:top w:val="nil"/>
              <w:left w:val="nil"/>
              <w:bottom w:val="nil"/>
              <w:right w:val="nil"/>
            </w:tcBorders>
            <w:tcMar>
              <w:top w:w="30" w:type="dxa"/>
              <w:left w:w="30" w:type="dxa"/>
              <w:bottom w:w="20" w:type="dxa"/>
              <w:right w:w="20" w:type="dxa"/>
            </w:tcMar>
          </w:tcPr>
          <w:p w:rsidR="004D6C83" w:rsidRPr="009F5AD2" w:rsidRDefault="004D6C83" w:rsidP="00A21856">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4D6C83" w:rsidRPr="009F5AD2" w:rsidRDefault="004D6C83" w:rsidP="00A21856">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4D6C83" w:rsidRPr="009F5AD2" w:rsidRDefault="00FD7E39" w:rsidP="00A21856">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rPr>
            </w:pPr>
            <w:r w:rsidRPr="009F5AD2">
              <w:rPr>
                <w:rFonts w:ascii="標楷體" w:eastAsia="標楷體" w:hAnsi="標楷體" w:cs="Arial"/>
                <w:color w:val="000000"/>
                <w:w w:val="0"/>
                <w:kern w:val="0"/>
                <w:sz w:val="23"/>
                <w:szCs w:val="23"/>
                <w:lang w:val="en-GB"/>
              </w:rPr>
              <w:t>200</w:t>
            </w:r>
          </w:p>
        </w:tc>
        <w:tc>
          <w:tcPr>
            <w:tcW w:w="44"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4D6C83" w:rsidRPr="009F5AD2" w:rsidRDefault="00FD7E39" w:rsidP="00A21856">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kern w:val="0"/>
                <w:sz w:val="23"/>
                <w:szCs w:val="23"/>
                <w:lang w:val="en-GB"/>
              </w:rPr>
              <w:t>200</w:t>
            </w: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4D6C83" w:rsidRPr="009F5AD2" w:rsidTr="00016ACE">
        <w:trPr>
          <w:trHeight w:val="180"/>
        </w:trPr>
        <w:tc>
          <w:tcPr>
            <w:tcW w:w="54" w:type="pct"/>
            <w:tcBorders>
              <w:top w:val="nil"/>
              <w:left w:val="single" w:sz="4" w:space="0" w:color="000000"/>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p>
        </w:tc>
        <w:tc>
          <w:tcPr>
            <w:tcW w:w="144"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p>
        </w:tc>
        <w:tc>
          <w:tcPr>
            <w:tcW w:w="1532" w:type="pct"/>
            <w:gridSpan w:val="3"/>
            <w:tcBorders>
              <w:top w:val="nil"/>
              <w:left w:val="nil"/>
              <w:bottom w:val="nil"/>
              <w:right w:val="nil"/>
            </w:tcBorders>
            <w:tcMar>
              <w:top w:w="30" w:type="dxa"/>
              <w:left w:w="30" w:type="dxa"/>
              <w:bottom w:w="20" w:type="dxa"/>
              <w:right w:w="20" w:type="dxa"/>
            </w:tcMar>
          </w:tcPr>
          <w:p w:rsidR="004D6C83" w:rsidRPr="009F5AD2" w:rsidRDefault="00FD7E39" w:rsidP="00A21856">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color w:val="000000"/>
                <w:kern w:val="0"/>
                <w:sz w:val="23"/>
                <w:szCs w:val="23"/>
                <w:lang w:val="en-GB"/>
              </w:rPr>
              <w:t>嵌入式衍生金融工具</w:t>
            </w:r>
          </w:p>
        </w:tc>
        <w:tc>
          <w:tcPr>
            <w:tcW w:w="50" w:type="pct"/>
            <w:tcBorders>
              <w:top w:val="nil"/>
              <w:left w:val="nil"/>
              <w:bottom w:val="nil"/>
              <w:right w:val="nil"/>
            </w:tcBorders>
            <w:tcMar>
              <w:top w:w="30" w:type="dxa"/>
              <w:left w:w="30" w:type="dxa"/>
              <w:bottom w:w="20" w:type="dxa"/>
              <w:right w:w="20" w:type="dxa"/>
            </w:tcMar>
          </w:tcPr>
          <w:p w:rsidR="004D6C83" w:rsidRPr="009F5AD2" w:rsidRDefault="004D6C83" w:rsidP="00A21856">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4D6C83" w:rsidRPr="009F5AD2" w:rsidRDefault="004D6C83" w:rsidP="00A21856">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single" w:sz="4" w:space="0" w:color="auto"/>
              <w:right w:val="nil"/>
            </w:tcBorders>
            <w:tcMar>
              <w:top w:w="30" w:type="dxa"/>
              <w:left w:w="30" w:type="dxa"/>
              <w:bottom w:w="20" w:type="dxa"/>
              <w:right w:w="20" w:type="dxa"/>
            </w:tcMar>
            <w:vAlign w:val="bottom"/>
          </w:tcPr>
          <w:p w:rsidR="004D6C83" w:rsidRPr="009F5AD2" w:rsidRDefault="00FD7E39" w:rsidP="00FD7E39">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rPr>
            </w:pPr>
            <w:r w:rsidRPr="009F5AD2">
              <w:rPr>
                <w:rFonts w:ascii="標楷體" w:eastAsia="標楷體" w:hAnsi="標楷體" w:cs="Arial"/>
                <w:color w:val="000000"/>
                <w:w w:val="0"/>
                <w:kern w:val="0"/>
                <w:sz w:val="23"/>
                <w:szCs w:val="23"/>
                <w:lang w:val="en-GB"/>
              </w:rPr>
              <w:t>2</w:t>
            </w:r>
            <w:r w:rsidR="004D6C83" w:rsidRPr="009F5AD2">
              <w:rPr>
                <w:rFonts w:ascii="標楷體" w:eastAsia="標楷體" w:hAnsi="標楷體" w:cs="Arial"/>
                <w:color w:val="000000"/>
                <w:w w:val="0"/>
                <w:kern w:val="0"/>
                <w:sz w:val="23"/>
                <w:szCs w:val="23"/>
                <w:lang w:val="en-GB"/>
              </w:rPr>
              <w:t>7</w:t>
            </w:r>
            <w:r w:rsidRPr="009F5AD2">
              <w:rPr>
                <w:rFonts w:ascii="標楷體" w:eastAsia="標楷體" w:hAnsi="標楷體" w:cs="Arial"/>
                <w:color w:val="000000"/>
                <w:w w:val="0"/>
                <w:kern w:val="0"/>
                <w:sz w:val="23"/>
                <w:szCs w:val="23"/>
                <w:lang w:val="en-GB"/>
              </w:rPr>
              <w:t>2</w:t>
            </w:r>
          </w:p>
        </w:tc>
        <w:tc>
          <w:tcPr>
            <w:tcW w:w="44"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single" w:sz="4" w:space="0" w:color="auto"/>
              <w:right w:val="nil"/>
            </w:tcBorders>
            <w:tcMar>
              <w:top w:w="30" w:type="dxa"/>
              <w:left w:w="30" w:type="dxa"/>
              <w:bottom w:w="20" w:type="dxa"/>
              <w:right w:w="20" w:type="dxa"/>
            </w:tcMar>
            <w:vAlign w:val="bottom"/>
          </w:tcPr>
          <w:p w:rsidR="004D6C83" w:rsidRPr="009F5AD2" w:rsidRDefault="00FD7E39" w:rsidP="00A21856">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w w:val="0"/>
                <w:kern w:val="0"/>
                <w:sz w:val="23"/>
                <w:szCs w:val="23"/>
                <w:lang w:val="en-GB"/>
              </w:rPr>
              <w:t>156</w:t>
            </w:r>
          </w:p>
        </w:tc>
        <w:tc>
          <w:tcPr>
            <w:tcW w:w="50"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single" w:sz="4" w:space="0" w:color="auto"/>
              <w:right w:val="nil"/>
            </w:tcBorders>
            <w:tcMar>
              <w:top w:w="30" w:type="dxa"/>
              <w:left w:w="30" w:type="dxa"/>
              <w:bottom w:w="20" w:type="dxa"/>
              <w:right w:w="20" w:type="dxa"/>
            </w:tcMar>
            <w:vAlign w:val="bottom"/>
          </w:tcPr>
          <w:p w:rsidR="004D6C83" w:rsidRPr="009F5AD2" w:rsidRDefault="00FD7E39" w:rsidP="00A21856">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w w:val="0"/>
                <w:kern w:val="0"/>
                <w:sz w:val="23"/>
                <w:szCs w:val="23"/>
                <w:lang w:val="en-GB"/>
              </w:rPr>
              <w:t>40</w:t>
            </w: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single" w:sz="4" w:space="0" w:color="auto"/>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76</w:t>
            </w: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4D6C83" w:rsidRPr="009F5AD2" w:rsidTr="00016ACE">
        <w:trPr>
          <w:trHeight w:val="180"/>
        </w:trPr>
        <w:tc>
          <w:tcPr>
            <w:tcW w:w="54" w:type="pct"/>
            <w:tcBorders>
              <w:top w:val="nil"/>
              <w:left w:val="single" w:sz="4" w:space="0" w:color="000000"/>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p>
        </w:tc>
        <w:tc>
          <w:tcPr>
            <w:tcW w:w="144"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p>
        </w:tc>
        <w:tc>
          <w:tcPr>
            <w:tcW w:w="1532" w:type="pct"/>
            <w:gridSpan w:val="3"/>
            <w:tcBorders>
              <w:top w:val="nil"/>
              <w:left w:val="nil"/>
              <w:bottom w:val="nil"/>
              <w:right w:val="nil"/>
            </w:tcBorders>
            <w:tcMar>
              <w:top w:w="30" w:type="dxa"/>
              <w:left w:w="30" w:type="dxa"/>
              <w:bottom w:w="20" w:type="dxa"/>
              <w:right w:w="20" w:type="dxa"/>
            </w:tcMar>
          </w:tcPr>
          <w:p w:rsidR="004D6C83" w:rsidRPr="009F5AD2" w:rsidRDefault="00FD7E39" w:rsidP="00A21856">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color w:val="000000"/>
                <w:kern w:val="0"/>
                <w:sz w:val="23"/>
                <w:szCs w:val="23"/>
                <w:lang w:val="en-GB"/>
              </w:rPr>
              <w:t>小計</w:t>
            </w:r>
          </w:p>
        </w:tc>
        <w:tc>
          <w:tcPr>
            <w:tcW w:w="50" w:type="pct"/>
            <w:tcBorders>
              <w:top w:val="nil"/>
              <w:left w:val="nil"/>
              <w:bottom w:val="nil"/>
              <w:right w:val="nil"/>
            </w:tcBorders>
            <w:tcMar>
              <w:top w:w="30" w:type="dxa"/>
              <w:left w:w="30" w:type="dxa"/>
              <w:bottom w:w="20" w:type="dxa"/>
              <w:right w:w="20" w:type="dxa"/>
            </w:tcMar>
          </w:tcPr>
          <w:p w:rsidR="004D6C83" w:rsidRPr="009F5AD2" w:rsidRDefault="004D6C83" w:rsidP="00A21856">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4D6C83" w:rsidRPr="009F5AD2" w:rsidRDefault="004D6C83" w:rsidP="00A21856">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single" w:sz="4" w:space="0" w:color="auto"/>
              <w:left w:val="nil"/>
              <w:bottom w:val="single" w:sz="4" w:space="0" w:color="auto"/>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472</w:t>
            </w:r>
          </w:p>
        </w:tc>
        <w:tc>
          <w:tcPr>
            <w:tcW w:w="44"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single" w:sz="4" w:space="0" w:color="auto"/>
              <w:left w:val="nil"/>
              <w:bottom w:val="single" w:sz="4" w:space="0" w:color="auto"/>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156</w:t>
            </w:r>
          </w:p>
        </w:tc>
        <w:tc>
          <w:tcPr>
            <w:tcW w:w="50"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single" w:sz="4" w:space="0" w:color="auto"/>
              <w:left w:val="nil"/>
              <w:bottom w:val="single" w:sz="4" w:space="0" w:color="auto"/>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24</w:t>
            </w:r>
            <w:r w:rsidRPr="009F5AD2">
              <w:rPr>
                <w:rFonts w:ascii="標楷體" w:eastAsia="標楷體" w:hAnsi="標楷體" w:cs="Times New Roman"/>
                <w:color w:val="000000"/>
                <w:kern w:val="0"/>
                <w:sz w:val="23"/>
                <w:szCs w:val="23"/>
                <w:lang w:val="en-GB" w:eastAsia="en-GB"/>
              </w:rPr>
              <w:t>0</w:t>
            </w: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single" w:sz="4" w:space="0" w:color="auto"/>
              <w:left w:val="nil"/>
              <w:bottom w:val="single" w:sz="4" w:space="0" w:color="auto"/>
              <w:right w:val="nil"/>
            </w:tcBorders>
            <w:tcMar>
              <w:top w:w="30" w:type="dxa"/>
              <w:left w:w="30" w:type="dxa"/>
              <w:bottom w:w="20" w:type="dxa"/>
              <w:right w:w="20" w:type="dxa"/>
            </w:tcMar>
            <w:vAlign w:val="bottom"/>
          </w:tcPr>
          <w:p w:rsidR="004D6C83" w:rsidRPr="009F5AD2" w:rsidRDefault="004D6C83" w:rsidP="00A21856">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76</w:t>
            </w: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4D6C83" w:rsidRPr="009F5AD2" w:rsidTr="00016ACE">
        <w:trPr>
          <w:trHeight w:hRule="exact" w:val="100"/>
        </w:trPr>
        <w:tc>
          <w:tcPr>
            <w:tcW w:w="54" w:type="pct"/>
            <w:tcBorders>
              <w:top w:val="nil"/>
              <w:left w:val="single" w:sz="4" w:space="0" w:color="000000"/>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59"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80"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1394"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single" w:sz="4" w:space="0" w:color="auto"/>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4"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75" w:type="pct"/>
            <w:tcBorders>
              <w:top w:val="single" w:sz="4" w:space="0" w:color="auto"/>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11" w:type="pct"/>
            <w:tcBorders>
              <w:top w:val="single" w:sz="4" w:space="0" w:color="auto"/>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3" w:type="pct"/>
            <w:tcBorders>
              <w:top w:val="single" w:sz="4" w:space="0" w:color="auto"/>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FD7E39" w:rsidRPr="009F5AD2" w:rsidTr="00FD7E39">
        <w:trPr>
          <w:trHeight w:val="180"/>
        </w:trPr>
        <w:tc>
          <w:tcPr>
            <w:tcW w:w="54" w:type="pct"/>
            <w:tcBorders>
              <w:top w:val="nil"/>
              <w:left w:val="single" w:sz="4" w:space="0" w:color="000000"/>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676" w:type="pct"/>
            <w:gridSpan w:val="4"/>
            <w:tcBorders>
              <w:top w:val="nil"/>
              <w:left w:val="nil"/>
              <w:bottom w:val="nil"/>
              <w:right w:val="nil"/>
            </w:tcBorders>
            <w:tcMar>
              <w:top w:w="30" w:type="dxa"/>
              <w:left w:w="30" w:type="dxa"/>
              <w:bottom w:w="20" w:type="dxa"/>
              <w:right w:w="20" w:type="dxa"/>
            </w:tcMar>
          </w:tcPr>
          <w:p w:rsidR="004D6C83" w:rsidRPr="009F5AD2" w:rsidRDefault="00FD7E39"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kern w:val="0"/>
                <w:sz w:val="23"/>
                <w:szCs w:val="23"/>
                <w:lang w:val="en-GB"/>
              </w:rPr>
              <w:t>非衍生金融</w:t>
            </w:r>
            <w:r w:rsidR="00016ACE" w:rsidRPr="009F5AD2">
              <w:rPr>
                <w:rFonts w:ascii="標楷體" w:eastAsia="標楷體" w:hAnsi="標楷體" w:cs="Times New Roman" w:hint="eastAsia"/>
                <w:kern w:val="0"/>
                <w:sz w:val="23"/>
                <w:szCs w:val="23"/>
                <w:lang w:val="en-GB"/>
              </w:rPr>
              <w:t>資產</w:t>
            </w:r>
          </w:p>
        </w:tc>
        <w:tc>
          <w:tcPr>
            <w:tcW w:w="50"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4"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FD7E39" w:rsidRPr="009F5AD2" w:rsidTr="00FD7E39">
        <w:trPr>
          <w:trHeight w:val="360"/>
        </w:trPr>
        <w:tc>
          <w:tcPr>
            <w:tcW w:w="54" w:type="pct"/>
            <w:tcBorders>
              <w:top w:val="nil"/>
              <w:left w:val="single" w:sz="4" w:space="0" w:color="000000"/>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532" w:type="pct"/>
            <w:gridSpan w:val="3"/>
            <w:tcBorders>
              <w:top w:val="nil"/>
              <w:left w:val="nil"/>
              <w:bottom w:val="nil"/>
              <w:right w:val="nil"/>
            </w:tcBorders>
            <w:tcMar>
              <w:top w:w="30" w:type="dxa"/>
              <w:left w:w="30" w:type="dxa"/>
              <w:bottom w:w="20" w:type="dxa"/>
              <w:right w:w="20" w:type="dxa"/>
            </w:tcMar>
          </w:tcPr>
          <w:p w:rsidR="004D6C83" w:rsidRPr="009F5AD2" w:rsidRDefault="00FD7E39"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kern w:val="0"/>
                <w:sz w:val="23"/>
                <w:szCs w:val="23"/>
                <w:lang w:val="en-GB"/>
              </w:rPr>
              <w:t>股票</w:t>
            </w:r>
          </w:p>
        </w:tc>
        <w:tc>
          <w:tcPr>
            <w:tcW w:w="50"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205"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454" w:type="pct"/>
            <w:tcBorders>
              <w:top w:val="nil"/>
              <w:left w:val="nil"/>
              <w:bottom w:val="nil"/>
              <w:right w:val="nil"/>
            </w:tcBorders>
            <w:tcMar>
              <w:top w:w="30" w:type="dxa"/>
              <w:left w:w="30" w:type="dxa"/>
              <w:bottom w:w="20" w:type="dxa"/>
              <w:right w:w="20" w:type="dxa"/>
            </w:tcMar>
            <w:vAlign w:val="bottom"/>
          </w:tcPr>
          <w:p w:rsidR="004D6C83" w:rsidRPr="009F5AD2" w:rsidRDefault="00FD7E39"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kern w:val="0"/>
                <w:sz w:val="23"/>
                <w:szCs w:val="23"/>
                <w:lang w:val="en-GB"/>
              </w:rPr>
              <w:t>770</w:t>
            </w:r>
          </w:p>
        </w:tc>
        <w:tc>
          <w:tcPr>
            <w:tcW w:w="44"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4D6C83" w:rsidRPr="009F5AD2" w:rsidRDefault="00FD7E39"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w w:val="0"/>
                <w:kern w:val="0"/>
                <w:sz w:val="23"/>
                <w:szCs w:val="23"/>
                <w:lang w:val="en-GB"/>
              </w:rPr>
              <w:t>550</w:t>
            </w:r>
          </w:p>
        </w:tc>
        <w:tc>
          <w:tcPr>
            <w:tcW w:w="50"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4D6C83" w:rsidRPr="009F5AD2" w:rsidRDefault="00FD7E39"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w w:val="0"/>
                <w:kern w:val="0"/>
                <w:sz w:val="23"/>
                <w:szCs w:val="23"/>
                <w:lang w:val="en-GB"/>
              </w:rPr>
              <w:t>220</w:t>
            </w: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FD7E39" w:rsidRPr="009F5AD2" w:rsidTr="00016ACE">
        <w:trPr>
          <w:trHeight w:val="360"/>
        </w:trPr>
        <w:tc>
          <w:tcPr>
            <w:tcW w:w="54" w:type="pct"/>
            <w:tcBorders>
              <w:top w:val="nil"/>
              <w:left w:val="single" w:sz="4" w:space="0" w:color="000000"/>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532" w:type="pct"/>
            <w:gridSpan w:val="3"/>
            <w:tcBorders>
              <w:top w:val="nil"/>
              <w:left w:val="nil"/>
              <w:bottom w:val="nil"/>
              <w:right w:val="nil"/>
            </w:tcBorders>
            <w:tcMar>
              <w:top w:w="30" w:type="dxa"/>
              <w:left w:w="30" w:type="dxa"/>
              <w:bottom w:w="20" w:type="dxa"/>
              <w:right w:w="20" w:type="dxa"/>
            </w:tcMar>
          </w:tcPr>
          <w:p w:rsidR="004D6C83" w:rsidRPr="009F5AD2" w:rsidRDefault="00FD7E39"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color w:val="000000"/>
                <w:kern w:val="0"/>
                <w:sz w:val="23"/>
                <w:szCs w:val="23"/>
                <w:lang w:val="en-GB"/>
              </w:rPr>
              <w:t>債</w:t>
            </w:r>
            <w:r w:rsidR="004D6C83" w:rsidRPr="009F5AD2">
              <w:rPr>
                <w:rFonts w:ascii="標楷體" w:eastAsia="標楷體" w:hAnsi="標楷體" w:cs="Times New Roman"/>
                <w:color w:val="000000"/>
                <w:kern w:val="0"/>
                <w:sz w:val="23"/>
                <w:szCs w:val="23"/>
                <w:lang w:val="en-GB"/>
              </w:rPr>
              <w:t>券</w:t>
            </w:r>
          </w:p>
        </w:tc>
        <w:tc>
          <w:tcPr>
            <w:tcW w:w="50"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205"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p>
        </w:tc>
        <w:tc>
          <w:tcPr>
            <w:tcW w:w="454" w:type="pct"/>
            <w:tcBorders>
              <w:top w:val="nil"/>
              <w:left w:val="nil"/>
              <w:right w:val="nil"/>
            </w:tcBorders>
            <w:tcMar>
              <w:top w:w="30" w:type="dxa"/>
              <w:left w:w="30" w:type="dxa"/>
              <w:bottom w:w="20" w:type="dxa"/>
              <w:right w:w="20" w:type="dxa"/>
            </w:tcMar>
            <w:vAlign w:val="bottom"/>
          </w:tcPr>
          <w:p w:rsidR="004D6C83" w:rsidRPr="009F5AD2" w:rsidRDefault="00FD7E39"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kern w:val="0"/>
                <w:sz w:val="23"/>
                <w:szCs w:val="23"/>
                <w:lang w:val="en-GB"/>
              </w:rPr>
              <w:t>638</w:t>
            </w:r>
          </w:p>
        </w:tc>
        <w:tc>
          <w:tcPr>
            <w:tcW w:w="44"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375" w:type="pct"/>
            <w:tcBorders>
              <w:top w:val="nil"/>
              <w:left w:val="nil"/>
              <w:right w:val="nil"/>
            </w:tcBorders>
            <w:tcMar>
              <w:top w:w="30" w:type="dxa"/>
              <w:left w:w="30" w:type="dxa"/>
              <w:bottom w:w="20" w:type="dxa"/>
              <w:right w:w="20" w:type="dxa"/>
            </w:tcMar>
            <w:vAlign w:val="bottom"/>
          </w:tcPr>
          <w:p w:rsidR="004D6C83" w:rsidRPr="009F5AD2" w:rsidRDefault="00FD7E39"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w w:val="0"/>
                <w:kern w:val="0"/>
                <w:sz w:val="23"/>
                <w:szCs w:val="23"/>
                <w:lang w:val="en-GB"/>
              </w:rPr>
              <w:t>170</w:t>
            </w:r>
          </w:p>
        </w:tc>
        <w:tc>
          <w:tcPr>
            <w:tcW w:w="50"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311" w:type="pct"/>
            <w:tcBorders>
              <w:top w:val="nil"/>
              <w:left w:val="nil"/>
              <w:right w:val="nil"/>
            </w:tcBorders>
            <w:tcMar>
              <w:top w:w="30" w:type="dxa"/>
              <w:left w:w="30" w:type="dxa"/>
              <w:bottom w:w="20" w:type="dxa"/>
              <w:right w:w="20" w:type="dxa"/>
            </w:tcMar>
            <w:vAlign w:val="bottom"/>
          </w:tcPr>
          <w:p w:rsidR="004D6C83" w:rsidRPr="009F5AD2" w:rsidRDefault="00FD7E39"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w w:val="0"/>
                <w:kern w:val="0"/>
                <w:sz w:val="23"/>
                <w:szCs w:val="23"/>
                <w:lang w:val="en-GB"/>
              </w:rPr>
              <w:t>48</w:t>
            </w: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383" w:type="pct"/>
            <w:tcBorders>
              <w:top w:val="nil"/>
              <w:left w:val="nil"/>
              <w:right w:val="nil"/>
            </w:tcBorders>
            <w:tcMar>
              <w:top w:w="30" w:type="dxa"/>
              <w:left w:w="30" w:type="dxa"/>
              <w:bottom w:w="20" w:type="dxa"/>
              <w:right w:w="20" w:type="dxa"/>
            </w:tcMar>
            <w:vAlign w:val="bottom"/>
          </w:tcPr>
          <w:p w:rsidR="004D6C83" w:rsidRPr="009F5AD2" w:rsidRDefault="00FD7E39"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kern w:val="0"/>
                <w:sz w:val="23"/>
                <w:szCs w:val="23"/>
                <w:lang w:val="en-GB"/>
              </w:rPr>
              <w:t>420</w:t>
            </w: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FD7E39" w:rsidRPr="009F5AD2" w:rsidTr="00016ACE">
        <w:trPr>
          <w:trHeight w:val="180"/>
        </w:trPr>
        <w:tc>
          <w:tcPr>
            <w:tcW w:w="54" w:type="pct"/>
            <w:tcBorders>
              <w:top w:val="nil"/>
              <w:left w:val="single" w:sz="4" w:space="0" w:color="000000"/>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532" w:type="pct"/>
            <w:gridSpan w:val="3"/>
            <w:tcBorders>
              <w:top w:val="nil"/>
              <w:left w:val="nil"/>
              <w:bottom w:val="nil"/>
              <w:right w:val="nil"/>
            </w:tcBorders>
            <w:tcMar>
              <w:top w:w="30" w:type="dxa"/>
              <w:left w:w="30" w:type="dxa"/>
              <w:bottom w:w="20" w:type="dxa"/>
              <w:right w:w="20" w:type="dxa"/>
            </w:tcMar>
          </w:tcPr>
          <w:p w:rsidR="004D6C83" w:rsidRPr="009F5AD2" w:rsidRDefault="00FD7E39"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其他</w:t>
            </w:r>
          </w:p>
        </w:tc>
        <w:tc>
          <w:tcPr>
            <w:tcW w:w="50"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single" w:sz="4" w:space="0" w:color="auto"/>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kern w:val="0"/>
                <w:sz w:val="23"/>
                <w:szCs w:val="23"/>
                <w:lang w:val="en-GB"/>
              </w:rPr>
              <w:t>186</w:t>
            </w:r>
          </w:p>
        </w:tc>
        <w:tc>
          <w:tcPr>
            <w:tcW w:w="44"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375" w:type="pct"/>
            <w:tcBorders>
              <w:top w:val="nil"/>
              <w:left w:val="nil"/>
              <w:bottom w:val="single" w:sz="4" w:space="0" w:color="auto"/>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kern w:val="0"/>
                <w:sz w:val="23"/>
                <w:szCs w:val="23"/>
                <w:lang w:val="en-GB"/>
              </w:rPr>
              <w:t>18</w:t>
            </w:r>
          </w:p>
        </w:tc>
        <w:tc>
          <w:tcPr>
            <w:tcW w:w="50"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311" w:type="pct"/>
            <w:tcBorders>
              <w:top w:val="nil"/>
              <w:left w:val="nil"/>
              <w:bottom w:val="single" w:sz="4" w:space="0" w:color="auto"/>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kern w:val="0"/>
                <w:sz w:val="23"/>
                <w:szCs w:val="23"/>
                <w:lang w:val="en-GB"/>
              </w:rPr>
              <w:t>168</w:t>
            </w: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383" w:type="pct"/>
            <w:tcBorders>
              <w:top w:val="nil"/>
              <w:left w:val="nil"/>
              <w:bottom w:val="single" w:sz="4" w:space="0" w:color="auto"/>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4D6C83" w:rsidRPr="009F5AD2" w:rsidRDefault="004D6C83"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016ACE" w:rsidRPr="009F5AD2" w:rsidTr="00016ACE">
        <w:trPr>
          <w:trHeight w:val="18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532" w:type="pct"/>
            <w:gridSpan w:val="3"/>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kern w:val="0"/>
                <w:sz w:val="23"/>
                <w:szCs w:val="23"/>
                <w:lang w:val="en-GB"/>
              </w:rPr>
            </w:pPr>
            <w:r w:rsidRPr="009F5AD2">
              <w:rPr>
                <w:rFonts w:ascii="標楷體" w:eastAsia="標楷體" w:hAnsi="標楷體" w:cs="Times New Roman" w:hint="eastAsia"/>
                <w:color w:val="000000"/>
                <w:kern w:val="0"/>
                <w:sz w:val="23"/>
                <w:szCs w:val="23"/>
                <w:lang w:val="en-GB"/>
              </w:rPr>
              <w:t xml:space="preserve">  小計</w:t>
            </w: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single" w:sz="4" w:space="0" w:color="auto"/>
              <w:left w:val="nil"/>
              <w:bottom w:val="nil"/>
              <w:right w:val="nil"/>
            </w:tcBorders>
            <w:tcMar>
              <w:top w:w="30" w:type="dxa"/>
              <w:left w:w="30" w:type="dxa"/>
              <w:bottom w:w="20" w:type="dxa"/>
              <w:right w:w="20" w:type="dxa"/>
            </w:tcMar>
            <w:vAlign w:val="bottom"/>
          </w:tcPr>
          <w:p w:rsidR="00016ACE" w:rsidRPr="009F5AD2" w:rsidRDefault="00016ACE" w:rsidP="0055087A">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kern w:val="0"/>
                <w:sz w:val="23"/>
                <w:szCs w:val="23"/>
                <w:lang w:val="en-GB"/>
              </w:rPr>
              <w:t>1,594</w:t>
            </w: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55087A">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55087A">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375" w:type="pct"/>
            <w:tcBorders>
              <w:top w:val="single" w:sz="4" w:space="0" w:color="auto"/>
              <w:left w:val="nil"/>
              <w:bottom w:val="nil"/>
              <w:right w:val="nil"/>
            </w:tcBorders>
            <w:tcMar>
              <w:top w:w="30" w:type="dxa"/>
              <w:left w:w="30" w:type="dxa"/>
              <w:bottom w:w="20" w:type="dxa"/>
              <w:right w:w="20" w:type="dxa"/>
            </w:tcMar>
            <w:vAlign w:val="bottom"/>
          </w:tcPr>
          <w:p w:rsidR="00016ACE" w:rsidRPr="009F5AD2" w:rsidRDefault="00016ACE" w:rsidP="0055087A">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kern w:val="0"/>
                <w:sz w:val="23"/>
                <w:szCs w:val="23"/>
                <w:lang w:val="en-GB"/>
              </w:rPr>
              <w:t>738</w:t>
            </w: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55087A">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55087A">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311" w:type="pct"/>
            <w:tcBorders>
              <w:top w:val="single" w:sz="4" w:space="0" w:color="auto"/>
              <w:left w:val="nil"/>
              <w:bottom w:val="nil"/>
              <w:right w:val="nil"/>
            </w:tcBorders>
            <w:tcMar>
              <w:top w:w="30" w:type="dxa"/>
              <w:left w:w="30" w:type="dxa"/>
              <w:bottom w:w="20" w:type="dxa"/>
              <w:right w:w="20" w:type="dxa"/>
            </w:tcMar>
            <w:vAlign w:val="bottom"/>
          </w:tcPr>
          <w:p w:rsidR="00016ACE" w:rsidRPr="009F5AD2" w:rsidRDefault="00016ACE" w:rsidP="0055087A">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kern w:val="0"/>
                <w:sz w:val="23"/>
                <w:szCs w:val="23"/>
                <w:lang w:val="en-GB"/>
              </w:rPr>
              <w:t>216</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55087A">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55087A">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383" w:type="pct"/>
            <w:tcBorders>
              <w:top w:val="single" w:sz="4" w:space="0" w:color="auto"/>
              <w:left w:val="nil"/>
              <w:bottom w:val="nil"/>
              <w:right w:val="nil"/>
            </w:tcBorders>
            <w:tcMar>
              <w:top w:w="30" w:type="dxa"/>
              <w:left w:w="30" w:type="dxa"/>
              <w:bottom w:w="20" w:type="dxa"/>
              <w:right w:w="20" w:type="dxa"/>
            </w:tcMar>
            <w:vAlign w:val="bottom"/>
          </w:tcPr>
          <w:p w:rsidR="00016ACE" w:rsidRPr="009F5AD2" w:rsidRDefault="00016ACE" w:rsidP="0055087A">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r w:rsidRPr="009F5AD2">
              <w:rPr>
                <w:rFonts w:ascii="標楷體" w:eastAsia="標楷體" w:hAnsi="標楷體" w:cs="Arial"/>
                <w:color w:val="000000"/>
                <w:kern w:val="0"/>
                <w:sz w:val="23"/>
                <w:szCs w:val="23"/>
                <w:lang w:val="en-GB"/>
              </w:rPr>
              <w:t>64</w:t>
            </w:r>
            <w:r w:rsidRPr="009F5AD2">
              <w:rPr>
                <w:rFonts w:ascii="標楷體" w:eastAsia="標楷體" w:hAnsi="標楷體" w:cs="Arial"/>
                <w:color w:val="000000"/>
                <w:kern w:val="0"/>
                <w:sz w:val="23"/>
                <w:szCs w:val="23"/>
                <w:lang w:val="en-GB" w:eastAsia="en-GB"/>
              </w:rPr>
              <w:t>0</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016ACE" w:rsidRPr="009F5AD2" w:rsidTr="00FD7E39">
        <w:trPr>
          <w:trHeight w:val="22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59"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8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1394" w:type="pct"/>
            <w:tcBorders>
              <w:top w:val="nil"/>
              <w:left w:val="nil"/>
              <w:bottom w:val="nil"/>
              <w:right w:val="nil"/>
            </w:tcBorders>
            <w:tcMar>
              <w:top w:w="30" w:type="dxa"/>
              <w:left w:w="30" w:type="dxa"/>
              <w:bottom w:w="20" w:type="dxa"/>
              <w:right w:w="20" w:type="dxa"/>
            </w:tcMar>
          </w:tcPr>
          <w:p w:rsidR="00016ACE" w:rsidRPr="009F5AD2" w:rsidRDefault="00016ACE" w:rsidP="00FD7E39">
            <w:pPr>
              <w:widowControl/>
              <w:suppressAutoHyphens/>
              <w:autoSpaceDE w:val="0"/>
              <w:autoSpaceDN w:val="0"/>
              <w:adjustRightInd w:val="0"/>
              <w:spacing w:after="80" w:line="180" w:lineRule="atLeast"/>
              <w:rPr>
                <w:rFonts w:ascii="標楷體" w:eastAsia="標楷體" w:hAnsi="標楷體" w:cs="Times New Roman"/>
                <w:color w:val="000000"/>
                <w:kern w:val="0"/>
                <w:sz w:val="23"/>
                <w:szCs w:val="23"/>
                <w:lang w:val="en-GB"/>
              </w:rPr>
            </w:pPr>
            <w:r w:rsidRPr="009F5AD2">
              <w:rPr>
                <w:rFonts w:ascii="標楷體" w:eastAsia="標楷體" w:hAnsi="標楷體" w:cs="Times New Roman" w:hint="eastAsia"/>
                <w:color w:val="000000"/>
                <w:kern w:val="0"/>
                <w:sz w:val="23"/>
                <w:szCs w:val="23"/>
                <w:lang w:val="en-GB"/>
              </w:rPr>
              <w:t>合計</w:t>
            </w: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single" w:sz="4" w:space="0" w:color="000000"/>
              <w:left w:val="nil"/>
              <w:bottom w:val="double" w:sz="4" w:space="0" w:color="000000"/>
              <w:right w:val="nil"/>
            </w:tcBorders>
            <w:tcMar>
              <w:top w:w="30" w:type="dxa"/>
              <w:left w:w="30" w:type="dxa"/>
              <w:bottom w:w="20" w:type="dxa"/>
              <w:right w:w="20" w:type="dxa"/>
            </w:tcMar>
            <w:vAlign w:val="bottom"/>
          </w:tcPr>
          <w:p w:rsidR="00016ACE" w:rsidRPr="009F5AD2" w:rsidRDefault="00016ACE" w:rsidP="00FD7E39">
            <w:pPr>
              <w:widowControl/>
              <w:suppressAutoHyphens/>
              <w:autoSpaceDE w:val="0"/>
              <w:autoSpaceDN w:val="0"/>
              <w:adjustRightInd w:val="0"/>
              <w:spacing w:after="80" w:line="160" w:lineRule="atLeast"/>
              <w:jc w:val="right"/>
              <w:rPr>
                <w:rFonts w:ascii="標楷體" w:eastAsia="標楷體" w:hAnsi="標楷體" w:cs="Arial"/>
                <w:color w:val="000000"/>
                <w:kern w:val="0"/>
                <w:sz w:val="23"/>
                <w:szCs w:val="23"/>
                <w:lang w:val="en-GB"/>
              </w:rPr>
            </w:pPr>
            <w:r w:rsidRPr="009F5AD2">
              <w:rPr>
                <w:rFonts w:ascii="標楷體" w:eastAsia="標楷體" w:hAnsi="標楷體" w:cs="Arial" w:hint="eastAsia"/>
                <w:color w:val="000000"/>
                <w:kern w:val="0"/>
                <w:sz w:val="23"/>
                <w:szCs w:val="23"/>
                <w:lang w:val="en-GB"/>
              </w:rPr>
              <w:t>2,372</w:t>
            </w: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375" w:type="pct"/>
            <w:tcBorders>
              <w:top w:val="single" w:sz="4" w:space="0" w:color="000000"/>
              <w:left w:val="nil"/>
              <w:bottom w:val="double" w:sz="4" w:space="0" w:color="000000"/>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Arial"/>
                <w:color w:val="000000"/>
                <w:kern w:val="0"/>
                <w:sz w:val="23"/>
                <w:szCs w:val="23"/>
                <w:lang w:val="en-GB"/>
              </w:rPr>
            </w:pPr>
            <w:r w:rsidRPr="009F5AD2">
              <w:rPr>
                <w:rFonts w:ascii="標楷體" w:eastAsia="標楷體" w:hAnsi="標楷體" w:cs="Arial" w:hint="eastAsia"/>
                <w:color w:val="000000"/>
                <w:kern w:val="0"/>
                <w:sz w:val="23"/>
                <w:szCs w:val="23"/>
                <w:lang w:val="en-GB"/>
              </w:rPr>
              <w:t>1,154</w:t>
            </w: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311" w:type="pct"/>
            <w:tcBorders>
              <w:top w:val="single" w:sz="4" w:space="0" w:color="000000"/>
              <w:left w:val="nil"/>
              <w:bottom w:val="double" w:sz="4" w:space="0" w:color="000000"/>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Arial"/>
                <w:color w:val="000000"/>
                <w:kern w:val="0"/>
                <w:sz w:val="23"/>
                <w:szCs w:val="23"/>
                <w:lang w:val="en-GB"/>
              </w:rPr>
            </w:pPr>
            <w:r w:rsidRPr="009F5AD2">
              <w:rPr>
                <w:rFonts w:ascii="標楷體" w:eastAsia="標楷體" w:hAnsi="標楷體" w:cs="Arial" w:hint="eastAsia"/>
                <w:color w:val="000000"/>
                <w:kern w:val="0"/>
                <w:sz w:val="23"/>
                <w:szCs w:val="23"/>
                <w:lang w:val="en-GB"/>
              </w:rPr>
              <w:t>502</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Arial"/>
                <w:color w:val="000000"/>
                <w:w w:val="0"/>
                <w:kern w:val="0"/>
                <w:sz w:val="23"/>
                <w:szCs w:val="23"/>
                <w:lang w:val="en-GB" w:eastAsia="en-GB"/>
              </w:rPr>
            </w:pPr>
          </w:p>
        </w:tc>
        <w:tc>
          <w:tcPr>
            <w:tcW w:w="383" w:type="pct"/>
            <w:tcBorders>
              <w:top w:val="single" w:sz="4" w:space="0" w:color="000000"/>
              <w:left w:val="nil"/>
              <w:bottom w:val="double" w:sz="4" w:space="0" w:color="000000"/>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Arial"/>
                <w:color w:val="000000"/>
                <w:kern w:val="0"/>
                <w:sz w:val="23"/>
                <w:szCs w:val="23"/>
                <w:lang w:val="en-GB"/>
              </w:rPr>
            </w:pPr>
            <w:r w:rsidRPr="009F5AD2">
              <w:rPr>
                <w:rFonts w:ascii="標楷體" w:eastAsia="標楷體" w:hAnsi="標楷體" w:cs="Arial" w:hint="eastAsia"/>
                <w:color w:val="000000"/>
                <w:kern w:val="0"/>
                <w:sz w:val="23"/>
                <w:szCs w:val="23"/>
                <w:lang w:val="en-GB"/>
              </w:rPr>
              <w:t>716</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016ACE" w:rsidRPr="009F5AD2" w:rsidTr="00FD7E39">
        <w:trPr>
          <w:trHeight w:hRule="exact" w:val="10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59"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8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139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016ACE" w:rsidRPr="009F5AD2" w:rsidTr="00FD7E39">
        <w:trPr>
          <w:trHeight w:val="18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676" w:type="pct"/>
            <w:gridSpan w:val="4"/>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kern w:val="0"/>
                <w:sz w:val="23"/>
                <w:szCs w:val="23"/>
                <w:lang w:val="en-GB"/>
              </w:rPr>
            </w:pPr>
            <w:r w:rsidRPr="009F5AD2">
              <w:rPr>
                <w:rFonts w:ascii="標楷體" w:eastAsia="標楷體" w:hAnsi="標楷體" w:cs="Times New Roman" w:hint="eastAsia"/>
                <w:color w:val="000000"/>
                <w:kern w:val="0"/>
                <w:sz w:val="23"/>
                <w:szCs w:val="23"/>
                <w:lang w:val="en-GB"/>
              </w:rPr>
              <w:t>備供出售金融資產</w:t>
            </w: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016ACE" w:rsidRPr="009F5AD2" w:rsidTr="00FD7E39">
        <w:trPr>
          <w:trHeight w:val="18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532" w:type="pct"/>
            <w:gridSpan w:val="3"/>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kern w:val="0"/>
                <w:sz w:val="23"/>
                <w:szCs w:val="23"/>
                <w:lang w:val="en-GB"/>
              </w:rPr>
            </w:pPr>
            <w:r w:rsidRPr="009F5AD2">
              <w:rPr>
                <w:rFonts w:ascii="標楷體" w:eastAsia="標楷體" w:hAnsi="標楷體" w:cs="Times New Roman" w:hint="eastAsia"/>
                <w:color w:val="000000"/>
                <w:kern w:val="0"/>
                <w:sz w:val="23"/>
                <w:szCs w:val="23"/>
                <w:lang w:val="en-GB"/>
              </w:rPr>
              <w:t>股票</w:t>
            </w: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110</w:t>
            </w: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110</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val="18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532" w:type="pct"/>
            <w:gridSpan w:val="3"/>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kern w:val="0"/>
                <w:sz w:val="23"/>
                <w:szCs w:val="23"/>
                <w:lang w:val="en-GB"/>
              </w:rPr>
            </w:pPr>
            <w:r w:rsidRPr="009F5AD2">
              <w:rPr>
                <w:rFonts w:ascii="標楷體" w:eastAsia="標楷體" w:hAnsi="標楷體" w:cs="Times New Roman" w:hint="eastAsia"/>
                <w:color w:val="000000"/>
                <w:kern w:val="0"/>
                <w:sz w:val="23"/>
                <w:szCs w:val="23"/>
                <w:lang w:val="en-GB"/>
              </w:rPr>
              <w:t>債券</w:t>
            </w: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70</w:t>
            </w: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70</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val="18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532" w:type="pct"/>
            <w:gridSpan w:val="3"/>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kern w:val="0"/>
                <w:sz w:val="23"/>
                <w:szCs w:val="23"/>
                <w:lang w:val="en-GB"/>
              </w:rPr>
            </w:pPr>
            <w:r w:rsidRPr="009F5AD2">
              <w:rPr>
                <w:rFonts w:ascii="標楷體" w:eastAsia="標楷體" w:hAnsi="標楷體" w:cs="Times New Roman" w:hint="eastAsia"/>
                <w:color w:val="000000"/>
                <w:kern w:val="0"/>
                <w:sz w:val="23"/>
                <w:szCs w:val="23"/>
                <w:lang w:val="en-GB"/>
              </w:rPr>
              <w:t>其他</w:t>
            </w: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18</w:t>
            </w:r>
            <w:r w:rsidRPr="009F5AD2">
              <w:rPr>
                <w:rFonts w:ascii="標楷體" w:eastAsia="標楷體" w:hAnsi="標楷體" w:cs="Times New Roman"/>
                <w:color w:val="000000"/>
                <w:kern w:val="0"/>
                <w:sz w:val="23"/>
                <w:szCs w:val="23"/>
                <w:lang w:val="en-GB" w:eastAsia="en-GB"/>
              </w:rPr>
              <w:t>0</w:t>
            </w: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18</w:t>
            </w:r>
            <w:r w:rsidRPr="009F5AD2">
              <w:rPr>
                <w:rFonts w:ascii="標楷體" w:eastAsia="標楷體" w:hAnsi="標楷體" w:cs="Times New Roman"/>
                <w:color w:val="000000"/>
                <w:kern w:val="0"/>
                <w:sz w:val="23"/>
                <w:szCs w:val="23"/>
                <w:lang w:val="en-GB" w:eastAsia="en-GB"/>
              </w:rPr>
              <w:t>0</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val="22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59"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kern w:val="0"/>
                <w:sz w:val="23"/>
                <w:szCs w:val="23"/>
                <w:lang w:val="en-GB"/>
              </w:rPr>
            </w:pPr>
          </w:p>
        </w:tc>
        <w:tc>
          <w:tcPr>
            <w:tcW w:w="8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kern w:val="0"/>
                <w:sz w:val="23"/>
                <w:szCs w:val="23"/>
                <w:lang w:val="en-GB"/>
              </w:rPr>
            </w:pPr>
          </w:p>
        </w:tc>
        <w:tc>
          <w:tcPr>
            <w:tcW w:w="139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kern w:val="0"/>
                <w:sz w:val="23"/>
                <w:szCs w:val="23"/>
                <w:lang w:val="en-GB"/>
              </w:rPr>
            </w:pPr>
            <w:r w:rsidRPr="009F5AD2">
              <w:rPr>
                <w:rFonts w:ascii="標楷體" w:eastAsia="標楷體" w:hAnsi="標楷體" w:cs="Times New Roman" w:hint="eastAsia"/>
                <w:color w:val="000000"/>
                <w:kern w:val="0"/>
                <w:sz w:val="23"/>
                <w:szCs w:val="23"/>
                <w:lang w:val="en-GB"/>
              </w:rPr>
              <w:t>合計</w:t>
            </w: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single" w:sz="4" w:space="0" w:color="000000"/>
              <w:left w:val="nil"/>
              <w:bottom w:val="double" w:sz="4" w:space="0" w:color="000000"/>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36</w:t>
            </w:r>
            <w:r w:rsidRPr="009F5AD2">
              <w:rPr>
                <w:rFonts w:ascii="標楷體" w:eastAsia="標楷體" w:hAnsi="標楷體" w:cs="Times New Roman"/>
                <w:color w:val="000000"/>
                <w:kern w:val="0"/>
                <w:sz w:val="23"/>
                <w:szCs w:val="23"/>
                <w:lang w:val="en-GB" w:eastAsia="en-GB"/>
              </w:rPr>
              <w:t>0</w:t>
            </w: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single" w:sz="4" w:space="0" w:color="000000"/>
              <w:left w:val="nil"/>
              <w:bottom w:val="double" w:sz="4" w:space="0" w:color="000000"/>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18</w:t>
            </w:r>
            <w:r w:rsidRPr="009F5AD2">
              <w:rPr>
                <w:rFonts w:ascii="標楷體" w:eastAsia="標楷體" w:hAnsi="標楷體" w:cs="Times New Roman"/>
                <w:color w:val="000000"/>
                <w:kern w:val="0"/>
                <w:sz w:val="23"/>
                <w:szCs w:val="23"/>
                <w:lang w:val="en-GB" w:eastAsia="en-GB"/>
              </w:rPr>
              <w:t>0</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single" w:sz="4" w:space="0" w:color="000000"/>
              <w:left w:val="nil"/>
              <w:bottom w:val="double" w:sz="4" w:space="0" w:color="000000"/>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18</w:t>
            </w:r>
            <w:r w:rsidRPr="009F5AD2">
              <w:rPr>
                <w:rFonts w:ascii="標楷體" w:eastAsia="標楷體" w:hAnsi="標楷體" w:cs="Times New Roman"/>
                <w:color w:val="000000"/>
                <w:kern w:val="0"/>
                <w:sz w:val="23"/>
                <w:szCs w:val="23"/>
                <w:lang w:val="en-GB" w:eastAsia="en-GB"/>
              </w:rPr>
              <w:t>0</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hRule="exact" w:val="10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59"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8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139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hRule="exact" w:val="10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59"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8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139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val="200"/>
        </w:trPr>
        <w:tc>
          <w:tcPr>
            <w:tcW w:w="54" w:type="pct"/>
            <w:tcBorders>
              <w:top w:val="nil"/>
              <w:left w:val="single" w:sz="4" w:space="0" w:color="000000"/>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676" w:type="pct"/>
            <w:gridSpan w:val="4"/>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r w:rsidRPr="009F5AD2">
              <w:rPr>
                <w:rFonts w:ascii="標楷體" w:eastAsia="標楷體" w:hAnsi="標楷體" w:cs="Times New Roman"/>
                <w:color w:val="000000"/>
                <w:kern w:val="0"/>
                <w:sz w:val="23"/>
                <w:szCs w:val="23"/>
                <w:lang w:val="en-GB"/>
              </w:rPr>
              <w:t>投資性不動產：</w:t>
            </w: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604" w:type="pct"/>
            <w:gridSpan w:val="2"/>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679" w:type="pct"/>
            <w:gridSpan w:val="2"/>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100" w:line="18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100" w:line="18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val="180"/>
        </w:trPr>
        <w:tc>
          <w:tcPr>
            <w:tcW w:w="54" w:type="pct"/>
            <w:tcBorders>
              <w:top w:val="nil"/>
              <w:left w:val="single" w:sz="4" w:space="0" w:color="000000"/>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532" w:type="pct"/>
            <w:gridSpan w:val="3"/>
            <w:tcBorders>
              <w:top w:val="nil"/>
              <w:left w:val="nil"/>
              <w:bottom w:val="nil"/>
              <w:right w:val="nil"/>
            </w:tcBorders>
            <w:tcMar>
              <w:top w:w="30" w:type="dxa"/>
              <w:left w:w="30" w:type="dxa"/>
              <w:bottom w:w="20" w:type="dxa"/>
              <w:right w:w="20" w:type="dxa"/>
            </w:tcMar>
          </w:tcPr>
          <w:p w:rsidR="00016ACE" w:rsidRPr="009F5AD2" w:rsidRDefault="00016ACE" w:rsidP="00016ACE">
            <w:pPr>
              <w:widowControl/>
              <w:suppressAutoHyphens/>
              <w:autoSpaceDE w:val="0"/>
              <w:autoSpaceDN w:val="0"/>
              <w:adjustRightInd w:val="0"/>
              <w:spacing w:after="80" w:line="180" w:lineRule="atLeast"/>
              <w:rPr>
                <w:rFonts w:ascii="標楷體" w:eastAsia="標楷體" w:hAnsi="標楷體" w:cs="Times New Roman"/>
                <w:color w:val="000000"/>
                <w:kern w:val="0"/>
                <w:sz w:val="23"/>
                <w:szCs w:val="23"/>
                <w:lang w:val="en-GB"/>
              </w:rPr>
            </w:pPr>
            <w:r w:rsidRPr="009F5AD2">
              <w:rPr>
                <w:rFonts w:ascii="標楷體" w:eastAsia="標楷體" w:hAnsi="標楷體" w:cs="Times New Roman" w:hint="eastAsia"/>
                <w:color w:val="000000"/>
                <w:kern w:val="0"/>
                <w:sz w:val="23"/>
                <w:szCs w:val="23"/>
                <w:lang w:val="en-GB"/>
              </w:rPr>
              <w:t>土地</w:t>
            </w: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62</w:t>
            </w: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62</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val="180"/>
        </w:trPr>
        <w:tc>
          <w:tcPr>
            <w:tcW w:w="54" w:type="pct"/>
            <w:tcBorders>
              <w:top w:val="nil"/>
              <w:left w:val="single" w:sz="4" w:space="0" w:color="000000"/>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532" w:type="pct"/>
            <w:gridSpan w:val="3"/>
            <w:tcBorders>
              <w:top w:val="nil"/>
              <w:left w:val="nil"/>
              <w:bottom w:val="nil"/>
              <w:right w:val="nil"/>
            </w:tcBorders>
            <w:tcMar>
              <w:top w:w="30" w:type="dxa"/>
              <w:left w:w="30" w:type="dxa"/>
              <w:bottom w:w="20" w:type="dxa"/>
              <w:right w:w="20" w:type="dxa"/>
            </w:tcMar>
          </w:tcPr>
          <w:p w:rsidR="00016ACE" w:rsidRPr="009F5AD2" w:rsidRDefault="00016ACE" w:rsidP="00016ACE">
            <w:pPr>
              <w:widowControl/>
              <w:suppressAutoHyphens/>
              <w:autoSpaceDE w:val="0"/>
              <w:autoSpaceDN w:val="0"/>
              <w:adjustRightInd w:val="0"/>
              <w:spacing w:after="80" w:line="180" w:lineRule="atLeast"/>
              <w:rPr>
                <w:rFonts w:ascii="標楷體" w:eastAsia="標楷體" w:hAnsi="標楷體" w:cs="Times New Roman"/>
                <w:color w:val="000000"/>
                <w:kern w:val="0"/>
                <w:sz w:val="23"/>
                <w:szCs w:val="23"/>
                <w:lang w:val="en-GB"/>
              </w:rPr>
            </w:pPr>
            <w:r w:rsidRPr="009F5AD2">
              <w:rPr>
                <w:rFonts w:ascii="標楷體" w:eastAsia="標楷體" w:hAnsi="標楷體" w:cs="Times New Roman" w:hint="eastAsia"/>
                <w:color w:val="000000"/>
                <w:kern w:val="0"/>
                <w:sz w:val="23"/>
                <w:szCs w:val="23"/>
                <w:lang w:val="en-GB"/>
              </w:rPr>
              <w:t>建築物</w:t>
            </w: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54</w:t>
            </w: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54</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val="220"/>
        </w:trPr>
        <w:tc>
          <w:tcPr>
            <w:tcW w:w="54" w:type="pct"/>
            <w:tcBorders>
              <w:top w:val="nil"/>
              <w:left w:val="single" w:sz="4" w:space="0" w:color="000000"/>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59"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8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139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合計</w:t>
            </w: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454" w:type="pct"/>
            <w:tcBorders>
              <w:top w:val="single" w:sz="4" w:space="0" w:color="000000"/>
              <w:left w:val="nil"/>
              <w:bottom w:val="double" w:sz="4" w:space="0" w:color="000000"/>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116</w:t>
            </w: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single" w:sz="4" w:space="0" w:color="000000"/>
              <w:left w:val="nil"/>
              <w:bottom w:val="double" w:sz="4" w:space="0" w:color="000000"/>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116</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hRule="exact" w:val="100"/>
        </w:trPr>
        <w:tc>
          <w:tcPr>
            <w:tcW w:w="54" w:type="pct"/>
            <w:tcBorders>
              <w:top w:val="nil"/>
              <w:left w:val="single" w:sz="4" w:space="0" w:color="000000"/>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59"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8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139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val="360"/>
        </w:trPr>
        <w:tc>
          <w:tcPr>
            <w:tcW w:w="54" w:type="pct"/>
            <w:tcBorders>
              <w:top w:val="nil"/>
              <w:left w:val="single" w:sz="4" w:space="0" w:color="000000"/>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532" w:type="pct"/>
            <w:gridSpan w:val="3"/>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rPr>
                <w:rFonts w:ascii="標楷體" w:eastAsia="標楷體" w:hAnsi="標楷體" w:cs="Times New Roman"/>
                <w:color w:val="000000"/>
                <w:w w:val="0"/>
                <w:kern w:val="0"/>
                <w:sz w:val="23"/>
                <w:szCs w:val="23"/>
                <w:lang w:val="en-GB"/>
              </w:rPr>
            </w:pPr>
            <w:r w:rsidRPr="009F5AD2">
              <w:rPr>
                <w:rFonts w:ascii="標楷體" w:eastAsia="標楷體" w:hAnsi="標楷體" w:cs="Times New Roman"/>
                <w:color w:val="000000"/>
                <w:kern w:val="0"/>
                <w:sz w:val="23"/>
                <w:szCs w:val="23"/>
                <w:lang w:val="en-GB"/>
              </w:rPr>
              <w:t>重複性公允價值衡量總額</w:t>
            </w: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rPr>
            </w:pPr>
          </w:p>
        </w:tc>
        <w:tc>
          <w:tcPr>
            <w:tcW w:w="454" w:type="pct"/>
            <w:tcBorders>
              <w:top w:val="nil"/>
              <w:left w:val="nil"/>
              <w:bottom w:val="double" w:sz="4" w:space="0" w:color="000000"/>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2</w:t>
            </w:r>
            <w:r w:rsidRPr="009F5AD2">
              <w:rPr>
                <w:rFonts w:ascii="標楷體" w:eastAsia="標楷體" w:hAnsi="標楷體" w:cs="Times New Roman"/>
                <w:color w:val="000000"/>
                <w:kern w:val="0"/>
                <w:sz w:val="23"/>
                <w:szCs w:val="23"/>
                <w:lang w:val="en-GB" w:eastAsia="en-GB"/>
              </w:rPr>
              <w:t>,</w:t>
            </w:r>
            <w:r w:rsidRPr="009F5AD2">
              <w:rPr>
                <w:rFonts w:ascii="標楷體" w:eastAsia="標楷體" w:hAnsi="標楷體" w:cs="Times New Roman" w:hint="eastAsia"/>
                <w:color w:val="000000"/>
                <w:kern w:val="0"/>
                <w:sz w:val="23"/>
                <w:szCs w:val="23"/>
                <w:lang w:val="en-GB"/>
              </w:rPr>
              <w:t>848</w:t>
            </w: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double" w:sz="4" w:space="0" w:color="000000"/>
              <w:right w:val="nil"/>
            </w:tcBorders>
            <w:tcMar>
              <w:top w:w="30" w:type="dxa"/>
              <w:left w:w="30" w:type="dxa"/>
              <w:bottom w:w="20" w:type="dxa"/>
              <w:right w:w="20" w:type="dxa"/>
            </w:tcMar>
            <w:vAlign w:val="bottom"/>
          </w:tcPr>
          <w:p w:rsidR="00016ACE" w:rsidRPr="009F5AD2" w:rsidRDefault="00016ACE" w:rsidP="005F674F">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1,154</w:t>
            </w: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double" w:sz="4" w:space="0" w:color="000000"/>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color w:val="000000"/>
                <w:kern w:val="0"/>
                <w:sz w:val="23"/>
                <w:szCs w:val="23"/>
                <w:lang w:val="en-GB"/>
              </w:rPr>
              <w:t>682</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double" w:sz="4" w:space="0" w:color="000000"/>
              <w:right w:val="nil"/>
            </w:tcBorders>
            <w:tcMar>
              <w:top w:w="30" w:type="dxa"/>
              <w:left w:w="30" w:type="dxa"/>
              <w:bottom w:w="20" w:type="dxa"/>
              <w:right w:w="20" w:type="dxa"/>
            </w:tcMar>
            <w:vAlign w:val="bottom"/>
          </w:tcPr>
          <w:p w:rsidR="00016ACE" w:rsidRPr="009F5AD2" w:rsidRDefault="00016ACE" w:rsidP="005F674F">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1.012</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hRule="exact" w:val="10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b/>
                <w:bCs/>
                <w:color w:val="000000"/>
                <w:w w:val="0"/>
                <w:kern w:val="0"/>
                <w:sz w:val="23"/>
                <w:szCs w:val="23"/>
                <w:lang w:val="en-GB" w:eastAsia="en-GB"/>
              </w:rPr>
            </w:pPr>
          </w:p>
        </w:tc>
        <w:tc>
          <w:tcPr>
            <w:tcW w:w="59"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100" w:line="180" w:lineRule="atLeast"/>
              <w:jc w:val="both"/>
              <w:rPr>
                <w:rFonts w:ascii="標楷體" w:eastAsia="標楷體" w:hAnsi="標楷體" w:cs="Times New Roman"/>
                <w:color w:val="000000"/>
                <w:w w:val="0"/>
                <w:kern w:val="0"/>
                <w:sz w:val="23"/>
                <w:szCs w:val="23"/>
                <w:lang w:val="en-GB" w:eastAsia="en-GB"/>
              </w:rPr>
            </w:pPr>
          </w:p>
        </w:tc>
        <w:tc>
          <w:tcPr>
            <w:tcW w:w="8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120" w:line="200" w:lineRule="atLeast"/>
              <w:jc w:val="both"/>
              <w:rPr>
                <w:rFonts w:ascii="標楷體" w:eastAsia="標楷體" w:hAnsi="標楷體" w:cs="Times New Roman"/>
                <w:color w:val="000000"/>
                <w:w w:val="0"/>
                <w:kern w:val="0"/>
                <w:sz w:val="23"/>
                <w:szCs w:val="23"/>
                <w:lang w:val="en-GB" w:eastAsia="en-GB"/>
              </w:rPr>
            </w:pPr>
          </w:p>
        </w:tc>
        <w:tc>
          <w:tcPr>
            <w:tcW w:w="139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120" w:line="200" w:lineRule="atLeast"/>
              <w:jc w:val="both"/>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120" w:line="20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120" w:line="20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val="34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726" w:type="pct"/>
            <w:gridSpan w:val="5"/>
            <w:tcBorders>
              <w:top w:val="nil"/>
              <w:left w:val="nil"/>
              <w:bottom w:val="nil"/>
              <w:right w:val="nil"/>
            </w:tcBorders>
            <w:tcMar>
              <w:top w:w="30" w:type="dxa"/>
              <w:left w:w="30" w:type="dxa"/>
              <w:bottom w:w="20" w:type="dxa"/>
              <w:right w:w="20" w:type="dxa"/>
            </w:tcMar>
            <w:vAlign w:val="center"/>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b/>
                <w:bCs/>
                <w:color w:val="000000"/>
                <w:w w:val="0"/>
                <w:kern w:val="0"/>
                <w:sz w:val="23"/>
                <w:szCs w:val="23"/>
                <w:lang w:val="en-GB"/>
              </w:rPr>
            </w:pPr>
            <w:r w:rsidRPr="009F5AD2">
              <w:rPr>
                <w:rFonts w:ascii="標楷體" w:eastAsia="標楷體" w:hAnsi="標楷體" w:cs="Times New Roman"/>
                <w:b/>
                <w:bCs/>
                <w:color w:val="000000"/>
                <w:kern w:val="0"/>
                <w:sz w:val="23"/>
                <w:szCs w:val="23"/>
                <w:lang w:val="en-GB"/>
              </w:rPr>
              <w:t>非重複性公允價值衡量</w:t>
            </w: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120" w:line="200" w:lineRule="atLeast"/>
              <w:jc w:val="both"/>
              <w:rPr>
                <w:rFonts w:ascii="標楷體" w:eastAsia="標楷體" w:hAnsi="標楷體" w:cs="Times New Roman"/>
                <w:color w:val="000000"/>
                <w:w w:val="0"/>
                <w:kern w:val="0"/>
                <w:sz w:val="23"/>
                <w:szCs w:val="23"/>
                <w:lang w:val="en-GB"/>
              </w:rPr>
            </w:pPr>
          </w:p>
        </w:tc>
        <w:tc>
          <w:tcPr>
            <w:tcW w:w="45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31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center"/>
              <w:rPr>
                <w:rFonts w:ascii="標楷體" w:eastAsia="標楷體" w:hAnsi="標楷體" w:cs="Times New Roman"/>
                <w:color w:val="000000"/>
                <w:w w:val="0"/>
                <w:kern w:val="0"/>
                <w:sz w:val="23"/>
                <w:szCs w:val="23"/>
                <w:lang w:val="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center"/>
              <w:rPr>
                <w:rFonts w:ascii="標楷體" w:eastAsia="標楷體" w:hAnsi="標楷體" w:cs="Times New Roman"/>
                <w:color w:val="000000"/>
                <w:w w:val="0"/>
                <w:kern w:val="0"/>
                <w:sz w:val="23"/>
                <w:szCs w:val="23"/>
                <w:lang w:val="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r>
      <w:tr w:rsidR="00016ACE" w:rsidRPr="009F5AD2" w:rsidTr="00FD7E39">
        <w:trPr>
          <w:trHeight w:hRule="exact" w:val="10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p>
        </w:tc>
        <w:tc>
          <w:tcPr>
            <w:tcW w:w="14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b/>
                <w:bCs/>
                <w:color w:val="000000"/>
                <w:w w:val="0"/>
                <w:kern w:val="0"/>
                <w:sz w:val="23"/>
                <w:szCs w:val="23"/>
                <w:lang w:val="en-GB"/>
              </w:rPr>
            </w:pPr>
          </w:p>
        </w:tc>
        <w:tc>
          <w:tcPr>
            <w:tcW w:w="59"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100" w:line="180" w:lineRule="atLeast"/>
              <w:jc w:val="both"/>
              <w:rPr>
                <w:rFonts w:ascii="標楷體" w:eastAsia="標楷體" w:hAnsi="標楷體" w:cs="Times New Roman"/>
                <w:color w:val="000000"/>
                <w:w w:val="0"/>
                <w:kern w:val="0"/>
                <w:sz w:val="23"/>
                <w:szCs w:val="23"/>
                <w:lang w:val="en-GB"/>
              </w:rPr>
            </w:pPr>
          </w:p>
        </w:tc>
        <w:tc>
          <w:tcPr>
            <w:tcW w:w="8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120" w:line="200" w:lineRule="atLeast"/>
              <w:jc w:val="both"/>
              <w:rPr>
                <w:rFonts w:ascii="標楷體" w:eastAsia="標楷體" w:hAnsi="標楷體" w:cs="Times New Roman"/>
                <w:color w:val="000000"/>
                <w:w w:val="0"/>
                <w:kern w:val="0"/>
                <w:sz w:val="23"/>
                <w:szCs w:val="23"/>
                <w:lang w:val="en-GB"/>
              </w:rPr>
            </w:pPr>
          </w:p>
        </w:tc>
        <w:tc>
          <w:tcPr>
            <w:tcW w:w="139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120" w:line="200" w:lineRule="atLeast"/>
              <w:jc w:val="both"/>
              <w:rPr>
                <w:rFonts w:ascii="標楷體" w:eastAsia="標楷體" w:hAnsi="標楷體" w:cs="Times New Roman"/>
                <w:color w:val="000000"/>
                <w:w w:val="0"/>
                <w:kern w:val="0"/>
                <w:sz w:val="23"/>
                <w:szCs w:val="23"/>
                <w:lang w:val="en-GB"/>
              </w:rPr>
            </w:pP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120" w:line="200" w:lineRule="atLeast"/>
              <w:jc w:val="both"/>
              <w:rPr>
                <w:rFonts w:ascii="標楷體" w:eastAsia="標楷體" w:hAnsi="標楷體" w:cs="Times New Roman"/>
                <w:color w:val="000000"/>
                <w:w w:val="0"/>
                <w:kern w:val="0"/>
                <w:sz w:val="23"/>
                <w:szCs w:val="23"/>
                <w:lang w:val="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120" w:line="200" w:lineRule="atLeast"/>
              <w:jc w:val="both"/>
              <w:rPr>
                <w:rFonts w:ascii="標楷體" w:eastAsia="標楷體" w:hAnsi="標楷體" w:cs="Times New Roman"/>
                <w:color w:val="000000"/>
                <w:w w:val="0"/>
                <w:kern w:val="0"/>
                <w:sz w:val="23"/>
                <w:szCs w:val="23"/>
                <w:lang w:val="en-GB"/>
              </w:rPr>
            </w:pPr>
          </w:p>
        </w:tc>
        <w:tc>
          <w:tcPr>
            <w:tcW w:w="45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31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p>
        </w:tc>
      </w:tr>
      <w:tr w:rsidR="00016ACE" w:rsidRPr="009F5AD2" w:rsidTr="00FD7E39">
        <w:trPr>
          <w:trHeight w:val="18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p>
        </w:tc>
        <w:tc>
          <w:tcPr>
            <w:tcW w:w="1676" w:type="pct"/>
            <w:gridSpan w:val="4"/>
            <w:tcBorders>
              <w:top w:val="nil"/>
              <w:left w:val="nil"/>
              <w:bottom w:val="nil"/>
              <w:right w:val="nil"/>
            </w:tcBorders>
            <w:tcMar>
              <w:top w:w="30" w:type="dxa"/>
              <w:left w:w="30" w:type="dxa"/>
              <w:bottom w:w="20" w:type="dxa"/>
              <w:right w:w="20" w:type="dxa"/>
            </w:tcMar>
          </w:tcPr>
          <w:p w:rsidR="00016ACE" w:rsidRPr="009F5AD2" w:rsidRDefault="00016ACE" w:rsidP="004D6C83">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hint="eastAsia"/>
                <w:color w:val="000000"/>
                <w:kern w:val="0"/>
                <w:sz w:val="23"/>
                <w:szCs w:val="23"/>
                <w:lang w:val="en-GB"/>
              </w:rPr>
              <w:t>待</w:t>
            </w:r>
            <w:r w:rsidRPr="009F5AD2">
              <w:rPr>
                <w:rFonts w:ascii="標楷體" w:eastAsia="標楷體" w:hAnsi="標楷體" w:cs="Times New Roman"/>
                <w:color w:val="000000"/>
                <w:kern w:val="0"/>
                <w:sz w:val="23"/>
                <w:szCs w:val="23"/>
                <w:lang w:val="en-GB"/>
              </w:rPr>
              <w:t>出售</w:t>
            </w:r>
            <w:r w:rsidRPr="009F5AD2">
              <w:rPr>
                <w:rFonts w:ascii="標楷體" w:eastAsia="標楷體" w:hAnsi="標楷體" w:cs="Times New Roman" w:hint="eastAsia"/>
                <w:color w:val="000000"/>
                <w:kern w:val="0"/>
                <w:sz w:val="23"/>
                <w:szCs w:val="23"/>
                <w:lang w:val="en-GB"/>
              </w:rPr>
              <w:t>非流動</w:t>
            </w:r>
            <w:r w:rsidRPr="009F5AD2">
              <w:rPr>
                <w:rFonts w:ascii="標楷體" w:eastAsia="標楷體" w:hAnsi="標楷體" w:cs="Times New Roman"/>
                <w:color w:val="000000"/>
                <w:kern w:val="0"/>
                <w:sz w:val="23"/>
                <w:szCs w:val="23"/>
                <w:lang w:val="en-GB"/>
              </w:rPr>
              <w:t>資產</w:t>
            </w:r>
            <w:r w:rsidRPr="009F5AD2">
              <w:rPr>
                <w:rFonts w:ascii="標楷體" w:eastAsia="標楷體" w:hAnsi="標楷體" w:cs="Times New Roman"/>
                <w:color w:val="000000"/>
                <w:kern w:val="0"/>
                <w:sz w:val="23"/>
                <w:szCs w:val="23"/>
                <w:vertAlign w:val="superscript"/>
                <w:lang w:val="en-GB" w:eastAsia="en-GB"/>
              </w:rPr>
              <w:t>(</w:t>
            </w:r>
            <w:r w:rsidRPr="009F5AD2">
              <w:rPr>
                <w:rFonts w:ascii="標楷體" w:eastAsia="標楷體" w:hAnsi="標楷體" w:cs="Times New Roman" w:hint="eastAsia"/>
                <w:color w:val="000000"/>
                <w:kern w:val="0"/>
                <w:sz w:val="23"/>
                <w:szCs w:val="23"/>
                <w:vertAlign w:val="superscript"/>
                <w:lang w:val="en-GB"/>
              </w:rPr>
              <w:t>a</w:t>
            </w:r>
            <w:r w:rsidRPr="009F5AD2">
              <w:rPr>
                <w:rFonts w:ascii="標楷體" w:eastAsia="標楷體" w:hAnsi="標楷體" w:cs="Times New Roman"/>
                <w:color w:val="000000"/>
                <w:kern w:val="0"/>
                <w:sz w:val="23"/>
                <w:szCs w:val="23"/>
                <w:vertAlign w:val="superscript"/>
                <w:lang w:val="en-GB" w:eastAsia="en-GB"/>
              </w:rPr>
              <w:t>)</w:t>
            </w: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single" w:sz="4" w:space="0" w:color="000000"/>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color w:val="000000"/>
                <w:kern w:val="0"/>
                <w:sz w:val="23"/>
                <w:szCs w:val="23"/>
                <w:lang w:val="en-GB"/>
              </w:rPr>
              <w:t>52</w:t>
            </w: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single" w:sz="4" w:space="0" w:color="000000"/>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color w:val="000000"/>
                <w:kern w:val="0"/>
                <w:sz w:val="23"/>
                <w:szCs w:val="23"/>
                <w:lang w:val="en-GB"/>
              </w:rPr>
              <w:t>52</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single" w:sz="4" w:space="0" w:color="000000"/>
              <w:right w:val="nil"/>
            </w:tcBorders>
            <w:tcMar>
              <w:top w:w="30" w:type="dxa"/>
              <w:left w:w="30" w:type="dxa"/>
              <w:bottom w:w="20" w:type="dxa"/>
              <w:right w:w="20" w:type="dxa"/>
            </w:tcMar>
            <w:vAlign w:val="bottom"/>
          </w:tcPr>
          <w:p w:rsidR="00016ACE" w:rsidRPr="009F5AD2" w:rsidRDefault="00016ACE" w:rsidP="005F674F">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color w:val="000000"/>
                <w:kern w:val="0"/>
                <w:sz w:val="23"/>
                <w:szCs w:val="23"/>
                <w:lang w:val="en-GB" w:eastAsia="en-GB"/>
              </w:rPr>
              <w:t>(</w:t>
            </w:r>
            <w:r w:rsidRPr="009F5AD2">
              <w:rPr>
                <w:rFonts w:ascii="標楷體" w:eastAsia="標楷體" w:hAnsi="標楷體" w:cs="Times New Roman" w:hint="eastAsia"/>
                <w:color w:val="000000"/>
                <w:kern w:val="0"/>
                <w:sz w:val="23"/>
                <w:szCs w:val="23"/>
                <w:lang w:val="en-GB"/>
              </w:rPr>
              <w:t>30</w:t>
            </w:r>
            <w:r w:rsidRPr="009F5AD2">
              <w:rPr>
                <w:rFonts w:ascii="標楷體" w:eastAsia="標楷體" w:hAnsi="標楷體" w:cs="Times New Roman"/>
                <w:color w:val="000000"/>
                <w:kern w:val="0"/>
                <w:sz w:val="23"/>
                <w:szCs w:val="23"/>
                <w:lang w:val="en-GB" w:eastAsia="en-GB"/>
              </w:rPr>
              <w:t>)</w:t>
            </w: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val="34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532" w:type="pct"/>
            <w:gridSpan w:val="3"/>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rPr>
            </w:pPr>
            <w:r w:rsidRPr="009F5AD2">
              <w:rPr>
                <w:rFonts w:ascii="標楷體" w:eastAsia="標楷體" w:hAnsi="標楷體" w:cs="Times New Roman"/>
                <w:color w:val="000000"/>
                <w:kern w:val="0"/>
                <w:sz w:val="23"/>
                <w:szCs w:val="23"/>
                <w:lang w:val="en-GB"/>
              </w:rPr>
              <w:t>非重複性公允價值衡量總額</w:t>
            </w: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rPr>
            </w:pPr>
          </w:p>
        </w:tc>
        <w:tc>
          <w:tcPr>
            <w:tcW w:w="454" w:type="pct"/>
            <w:tcBorders>
              <w:top w:val="nil"/>
              <w:left w:val="nil"/>
              <w:bottom w:val="double" w:sz="4" w:space="0" w:color="000000"/>
              <w:right w:val="nil"/>
            </w:tcBorders>
            <w:tcMar>
              <w:top w:w="30" w:type="dxa"/>
              <w:left w:w="30" w:type="dxa"/>
              <w:bottom w:w="3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color w:val="000000"/>
                <w:kern w:val="0"/>
                <w:sz w:val="23"/>
                <w:szCs w:val="23"/>
                <w:lang w:val="en-GB"/>
              </w:rPr>
              <w:t>52</w:t>
            </w: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11" w:type="pct"/>
            <w:tcBorders>
              <w:top w:val="nil"/>
              <w:left w:val="nil"/>
              <w:bottom w:val="double" w:sz="4" w:space="0" w:color="000000"/>
              <w:right w:val="nil"/>
            </w:tcBorders>
            <w:tcMar>
              <w:top w:w="30" w:type="dxa"/>
              <w:left w:w="30" w:type="dxa"/>
              <w:bottom w:w="3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rPr>
            </w:pPr>
            <w:r w:rsidRPr="009F5AD2">
              <w:rPr>
                <w:rFonts w:ascii="標楷體" w:eastAsia="標楷體" w:hAnsi="標楷體" w:cs="Times New Roman" w:hint="eastAsia"/>
                <w:color w:val="000000"/>
                <w:kern w:val="0"/>
                <w:sz w:val="23"/>
                <w:szCs w:val="23"/>
                <w:lang w:val="en-GB"/>
              </w:rPr>
              <w:t>52</w:t>
            </w: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c>
          <w:tcPr>
            <w:tcW w:w="382" w:type="pct"/>
            <w:tcBorders>
              <w:top w:val="nil"/>
              <w:left w:val="nil"/>
              <w:bottom w:val="double" w:sz="4" w:space="0" w:color="000000"/>
              <w:right w:val="nil"/>
            </w:tcBorders>
            <w:tcMar>
              <w:top w:w="30" w:type="dxa"/>
              <w:left w:w="30" w:type="dxa"/>
              <w:bottom w:w="30" w:type="dxa"/>
              <w:right w:w="20" w:type="dxa"/>
            </w:tcMar>
            <w:vAlign w:val="bottom"/>
          </w:tcPr>
          <w:p w:rsidR="00016ACE" w:rsidRPr="009F5AD2" w:rsidRDefault="00016ACE" w:rsidP="005F674F">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color w:val="000000"/>
                <w:kern w:val="0"/>
                <w:sz w:val="23"/>
                <w:szCs w:val="23"/>
                <w:lang w:val="en-GB" w:eastAsia="en-GB"/>
              </w:rPr>
              <w:t>(</w:t>
            </w:r>
            <w:r w:rsidRPr="009F5AD2">
              <w:rPr>
                <w:rFonts w:ascii="標楷體" w:eastAsia="標楷體" w:hAnsi="標楷體" w:cs="Times New Roman" w:hint="eastAsia"/>
                <w:color w:val="000000"/>
                <w:kern w:val="0"/>
                <w:sz w:val="23"/>
                <w:szCs w:val="23"/>
                <w:lang w:val="en-GB"/>
              </w:rPr>
              <w:t>30</w:t>
            </w:r>
            <w:r w:rsidRPr="009F5AD2">
              <w:rPr>
                <w:rFonts w:ascii="標楷體" w:eastAsia="標楷體" w:hAnsi="標楷體" w:cs="Times New Roman"/>
                <w:color w:val="000000"/>
                <w:kern w:val="0"/>
                <w:sz w:val="23"/>
                <w:szCs w:val="23"/>
                <w:lang w:val="en-GB" w:eastAsia="en-GB"/>
              </w:rPr>
              <w:t>)</w:t>
            </w: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right"/>
              <w:rPr>
                <w:rFonts w:ascii="標楷體" w:eastAsia="標楷體" w:hAnsi="標楷體" w:cs="Times New Roman"/>
                <w:color w:val="000000"/>
                <w:w w:val="0"/>
                <w:kern w:val="0"/>
                <w:sz w:val="23"/>
                <w:szCs w:val="23"/>
                <w:lang w:val="en-GB" w:eastAsia="en-GB"/>
              </w:rPr>
            </w:pPr>
          </w:p>
        </w:tc>
      </w:tr>
      <w:tr w:rsidR="00016ACE" w:rsidRPr="009F5AD2" w:rsidTr="00FD7E39">
        <w:trPr>
          <w:trHeight w:hRule="exact" w:val="160"/>
        </w:trPr>
        <w:tc>
          <w:tcPr>
            <w:tcW w:w="54" w:type="pct"/>
            <w:tcBorders>
              <w:top w:val="nil"/>
              <w:left w:val="single" w:sz="4" w:space="0" w:color="000000"/>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14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rPr>
                <w:rFonts w:ascii="標楷體" w:eastAsia="標楷體" w:hAnsi="標楷體" w:cs="Times New Roman"/>
                <w:color w:val="000000"/>
                <w:w w:val="0"/>
                <w:kern w:val="0"/>
                <w:sz w:val="23"/>
                <w:szCs w:val="23"/>
                <w:lang w:val="en-GB" w:eastAsia="en-GB"/>
              </w:rPr>
            </w:pPr>
          </w:p>
        </w:tc>
        <w:tc>
          <w:tcPr>
            <w:tcW w:w="59"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8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1394"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205" w:type="pct"/>
            <w:tcBorders>
              <w:top w:val="nil"/>
              <w:left w:val="nil"/>
              <w:bottom w:val="nil"/>
              <w:right w:val="nil"/>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80" w:line="180" w:lineRule="atLeast"/>
              <w:jc w:val="both"/>
              <w:rPr>
                <w:rFonts w:ascii="標楷體" w:eastAsia="標楷體" w:hAnsi="標楷體" w:cs="Times New Roman"/>
                <w:color w:val="000000"/>
                <w:w w:val="0"/>
                <w:kern w:val="0"/>
                <w:sz w:val="23"/>
                <w:szCs w:val="23"/>
                <w:lang w:val="en-GB" w:eastAsia="en-GB"/>
              </w:rPr>
            </w:pPr>
          </w:p>
        </w:tc>
        <w:tc>
          <w:tcPr>
            <w:tcW w:w="45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44"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75"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0"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1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296"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3"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51"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82" w:type="pct"/>
            <w:tcBorders>
              <w:top w:val="nil"/>
              <w:left w:val="nil"/>
              <w:bottom w:val="nil"/>
              <w:right w:val="nil"/>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c>
          <w:tcPr>
            <w:tcW w:w="34" w:type="pct"/>
            <w:tcBorders>
              <w:top w:val="nil"/>
              <w:left w:val="nil"/>
              <w:bottom w:val="nil"/>
              <w:right w:val="single" w:sz="4" w:space="0" w:color="000000"/>
            </w:tcBorders>
            <w:tcMar>
              <w:top w:w="30" w:type="dxa"/>
              <w:left w:w="30" w:type="dxa"/>
              <w:bottom w:w="20" w:type="dxa"/>
              <w:right w:w="20" w:type="dxa"/>
            </w:tcMar>
            <w:vAlign w:val="bottom"/>
          </w:tcPr>
          <w:p w:rsidR="00016ACE" w:rsidRPr="009F5AD2" w:rsidRDefault="00016ACE" w:rsidP="00485B54">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p>
        </w:tc>
      </w:tr>
      <w:tr w:rsidR="00016ACE" w:rsidRPr="009F5AD2" w:rsidTr="00FD7E39">
        <w:trPr>
          <w:trHeight w:val="500"/>
        </w:trPr>
        <w:tc>
          <w:tcPr>
            <w:tcW w:w="199" w:type="pct"/>
            <w:gridSpan w:val="2"/>
            <w:tcBorders>
              <w:top w:val="nil"/>
              <w:left w:val="single" w:sz="4" w:space="0" w:color="000000"/>
              <w:bottom w:val="single" w:sz="4" w:space="0" w:color="auto"/>
              <w:right w:val="nil"/>
            </w:tcBorders>
            <w:tcMar>
              <w:top w:w="30" w:type="dxa"/>
              <w:left w:w="30" w:type="dxa"/>
              <w:bottom w:w="20" w:type="dxa"/>
              <w:right w:w="20" w:type="dxa"/>
            </w:tcMar>
          </w:tcPr>
          <w:p w:rsidR="00016ACE" w:rsidRPr="009F5AD2" w:rsidRDefault="00016ACE" w:rsidP="004D6C83">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eastAsia="en-GB"/>
              </w:rPr>
            </w:pPr>
            <w:r w:rsidRPr="009F5AD2">
              <w:rPr>
                <w:rFonts w:ascii="標楷體" w:eastAsia="標楷體" w:hAnsi="標楷體" w:cs="Times New Roman"/>
                <w:color w:val="000000"/>
                <w:kern w:val="0"/>
                <w:sz w:val="23"/>
                <w:szCs w:val="23"/>
                <w:lang w:val="en-GB" w:eastAsia="en-GB"/>
              </w:rPr>
              <w:t>(</w:t>
            </w:r>
            <w:r w:rsidRPr="009F5AD2">
              <w:rPr>
                <w:rFonts w:ascii="標楷體" w:eastAsia="標楷體" w:hAnsi="標楷體" w:cs="Times New Roman" w:hint="eastAsia"/>
                <w:color w:val="000000"/>
                <w:kern w:val="0"/>
                <w:sz w:val="23"/>
                <w:szCs w:val="23"/>
                <w:lang w:val="en-GB"/>
              </w:rPr>
              <w:t>a</w:t>
            </w:r>
            <w:r w:rsidRPr="009F5AD2">
              <w:rPr>
                <w:rFonts w:ascii="標楷體" w:eastAsia="標楷體" w:hAnsi="標楷體" w:cs="Times New Roman"/>
                <w:color w:val="000000"/>
                <w:kern w:val="0"/>
                <w:sz w:val="23"/>
                <w:szCs w:val="23"/>
                <w:lang w:val="en-GB" w:eastAsia="en-GB"/>
              </w:rPr>
              <w:t>)</w:t>
            </w:r>
          </w:p>
        </w:tc>
        <w:tc>
          <w:tcPr>
            <w:tcW w:w="4768" w:type="pct"/>
            <w:gridSpan w:val="17"/>
            <w:tcBorders>
              <w:top w:val="nil"/>
              <w:left w:val="nil"/>
              <w:bottom w:val="single" w:sz="4" w:space="0" w:color="auto"/>
              <w:right w:val="nil"/>
            </w:tcBorders>
            <w:tcMar>
              <w:top w:w="30" w:type="dxa"/>
              <w:left w:w="30" w:type="dxa"/>
              <w:bottom w:w="20" w:type="dxa"/>
              <w:right w:w="20" w:type="dxa"/>
            </w:tcMar>
          </w:tcPr>
          <w:p w:rsidR="00016ACE" w:rsidRPr="009F5AD2" w:rsidRDefault="00016ACE" w:rsidP="00B54F72">
            <w:pPr>
              <w:widowControl/>
              <w:suppressAutoHyphens/>
              <w:autoSpaceDE w:val="0"/>
              <w:autoSpaceDN w:val="0"/>
              <w:adjustRightInd w:val="0"/>
              <w:spacing w:after="80" w:line="160" w:lineRule="atLeast"/>
              <w:jc w:val="both"/>
              <w:rPr>
                <w:rFonts w:ascii="標楷體" w:eastAsia="標楷體" w:hAnsi="標楷體" w:cs="Times New Roman"/>
                <w:color w:val="000000"/>
                <w:w w:val="0"/>
                <w:kern w:val="0"/>
                <w:sz w:val="23"/>
                <w:szCs w:val="23"/>
                <w:lang w:val="en-GB"/>
              </w:rPr>
            </w:pPr>
            <w:r w:rsidRPr="009F5AD2">
              <w:rPr>
                <w:rFonts w:ascii="標楷體" w:eastAsia="標楷體" w:hAnsi="標楷體" w:cs="Times New Roman"/>
                <w:color w:val="000000"/>
                <w:kern w:val="0"/>
                <w:sz w:val="23"/>
                <w:szCs w:val="23"/>
                <w:lang w:val="en-GB"/>
              </w:rPr>
              <w:t>依</w:t>
            </w:r>
            <w:r w:rsidRPr="009F5AD2">
              <w:rPr>
                <w:rFonts w:ascii="標楷體" w:eastAsia="標楷體" w:hAnsi="標楷體" w:cs="Times New Roman" w:hint="eastAsia"/>
                <w:color w:val="000000"/>
                <w:kern w:val="0"/>
                <w:sz w:val="23"/>
                <w:szCs w:val="23"/>
                <w:lang w:val="en-GB"/>
              </w:rPr>
              <w:t xml:space="preserve">IFRS </w:t>
            </w:r>
            <w:r w:rsidRPr="009F5AD2">
              <w:rPr>
                <w:rFonts w:ascii="標楷體" w:eastAsia="標楷體" w:hAnsi="標楷體" w:cs="Times New Roman"/>
                <w:color w:val="000000"/>
                <w:kern w:val="0"/>
                <w:sz w:val="23"/>
                <w:szCs w:val="23"/>
                <w:lang w:val="en-GB"/>
              </w:rPr>
              <w:t>5之規定，</w:t>
            </w:r>
            <w:proofErr w:type="gramStart"/>
            <w:r w:rsidRPr="009F5AD2">
              <w:rPr>
                <w:rFonts w:ascii="標楷體" w:eastAsia="標楷體" w:hAnsi="標楷體" w:cs="Times New Roman"/>
                <w:color w:val="000000"/>
                <w:kern w:val="0"/>
                <w:sz w:val="23"/>
                <w:szCs w:val="23"/>
                <w:lang w:val="en-GB"/>
              </w:rPr>
              <w:t>帳面</w:t>
            </w:r>
            <w:proofErr w:type="gramEnd"/>
            <w:r w:rsidRPr="009F5AD2">
              <w:rPr>
                <w:rFonts w:ascii="標楷體" w:eastAsia="標楷體" w:hAnsi="標楷體" w:cs="Times New Roman"/>
                <w:color w:val="000000"/>
                <w:kern w:val="0"/>
                <w:sz w:val="23"/>
                <w:szCs w:val="23"/>
                <w:lang w:val="en-GB"/>
              </w:rPr>
              <w:t>金額</w:t>
            </w:r>
            <w:r w:rsidRPr="009F5AD2">
              <w:rPr>
                <w:rFonts w:ascii="標楷體" w:eastAsia="標楷體" w:hAnsi="標楷體" w:cs="Times New Roman" w:hint="eastAsia"/>
                <w:color w:val="000000"/>
                <w:kern w:val="0"/>
                <w:sz w:val="23"/>
                <w:szCs w:val="23"/>
                <w:lang w:val="en-GB"/>
              </w:rPr>
              <w:t>70仟元</w:t>
            </w:r>
            <w:r w:rsidRPr="009F5AD2">
              <w:rPr>
                <w:rFonts w:ascii="標楷體" w:eastAsia="標楷體" w:hAnsi="標楷體" w:cs="Times New Roman"/>
                <w:color w:val="000000"/>
                <w:kern w:val="0"/>
                <w:sz w:val="23"/>
                <w:szCs w:val="23"/>
                <w:lang w:val="en-GB"/>
              </w:rPr>
              <w:t>之待出售資產</w:t>
            </w:r>
            <w:r w:rsidRPr="009F5AD2">
              <w:rPr>
                <w:rFonts w:ascii="標楷體" w:eastAsia="標楷體" w:hAnsi="標楷體" w:cs="Times New Roman" w:hint="eastAsia"/>
                <w:color w:val="000000"/>
                <w:kern w:val="0"/>
                <w:sz w:val="23"/>
                <w:szCs w:val="23"/>
                <w:lang w:val="en-GB"/>
              </w:rPr>
              <w:t>被</w:t>
            </w:r>
            <w:r w:rsidRPr="009F5AD2">
              <w:rPr>
                <w:rFonts w:ascii="標楷體" w:eastAsia="標楷體" w:hAnsi="標楷體" w:cs="Times New Roman"/>
                <w:color w:val="000000"/>
                <w:kern w:val="0"/>
                <w:sz w:val="23"/>
                <w:szCs w:val="23"/>
                <w:lang w:val="en-GB"/>
              </w:rPr>
              <w:t>沖減至</w:t>
            </w:r>
            <w:r w:rsidRPr="009F5AD2">
              <w:rPr>
                <w:rFonts w:ascii="標楷體" w:eastAsia="標楷體" w:hAnsi="標楷體" w:cs="Times New Roman" w:hint="eastAsia"/>
                <w:color w:val="000000"/>
                <w:kern w:val="0"/>
                <w:sz w:val="23"/>
                <w:szCs w:val="23"/>
                <w:lang w:val="en-GB"/>
              </w:rPr>
              <w:t>其</w:t>
            </w:r>
            <w:r w:rsidRPr="009F5AD2">
              <w:rPr>
                <w:rFonts w:ascii="標楷體" w:eastAsia="標楷體" w:hAnsi="標楷體" w:cs="Times New Roman"/>
                <w:color w:val="000000"/>
                <w:kern w:val="0"/>
                <w:sz w:val="23"/>
                <w:szCs w:val="23"/>
                <w:lang w:val="en-GB"/>
              </w:rPr>
              <w:t>公允價值</w:t>
            </w:r>
            <w:r w:rsidRPr="009F5AD2">
              <w:rPr>
                <w:rFonts w:ascii="標楷體" w:eastAsia="標楷體" w:hAnsi="標楷體" w:cs="Times New Roman" w:hint="eastAsia"/>
                <w:color w:val="000000"/>
                <w:kern w:val="0"/>
                <w:sz w:val="23"/>
                <w:szCs w:val="23"/>
                <w:lang w:val="en-GB"/>
              </w:rPr>
              <w:t>52仟元</w:t>
            </w:r>
            <w:r w:rsidRPr="009F5AD2">
              <w:rPr>
                <w:rFonts w:ascii="標楷體" w:eastAsia="標楷體" w:hAnsi="標楷體" w:cs="Times New Roman"/>
                <w:color w:val="000000"/>
                <w:kern w:val="0"/>
                <w:sz w:val="23"/>
                <w:szCs w:val="23"/>
                <w:lang w:val="en-GB"/>
              </w:rPr>
              <w:t>減出售成本</w:t>
            </w:r>
            <w:r w:rsidR="00B54F72" w:rsidRPr="009F5AD2">
              <w:rPr>
                <w:rFonts w:ascii="標楷體" w:eastAsia="標楷體" w:hAnsi="標楷體" w:cs="Times New Roman" w:hint="eastAsia"/>
                <w:color w:val="000000"/>
                <w:kern w:val="0"/>
                <w:sz w:val="23"/>
                <w:szCs w:val="23"/>
                <w:lang w:val="en-GB"/>
              </w:rPr>
              <w:t>12</w:t>
            </w:r>
            <w:r w:rsidRPr="009F5AD2">
              <w:rPr>
                <w:rFonts w:ascii="標楷體" w:eastAsia="標楷體" w:hAnsi="標楷體" w:cs="Times New Roman" w:hint="eastAsia"/>
                <w:color w:val="000000"/>
                <w:kern w:val="0"/>
                <w:sz w:val="23"/>
                <w:szCs w:val="23"/>
                <w:lang w:val="en-GB"/>
              </w:rPr>
              <w:t>仟元</w:t>
            </w:r>
            <w:r w:rsidRPr="009F5AD2">
              <w:rPr>
                <w:rFonts w:ascii="標楷體" w:eastAsia="標楷體" w:hAnsi="標楷體" w:cs="Times New Roman"/>
                <w:color w:val="000000"/>
                <w:kern w:val="0"/>
                <w:sz w:val="23"/>
                <w:szCs w:val="23"/>
                <w:lang w:val="en-GB"/>
              </w:rPr>
              <w:t>（或</w:t>
            </w:r>
            <w:r w:rsidR="00B54F72" w:rsidRPr="009F5AD2">
              <w:rPr>
                <w:rFonts w:ascii="標楷體" w:eastAsia="標楷體" w:hAnsi="標楷體" w:cs="Times New Roman" w:hint="eastAsia"/>
                <w:color w:val="000000"/>
                <w:kern w:val="0"/>
                <w:sz w:val="23"/>
                <w:szCs w:val="23"/>
                <w:lang w:val="en-GB"/>
              </w:rPr>
              <w:t>4</w:t>
            </w:r>
            <w:r w:rsidRPr="009F5AD2">
              <w:rPr>
                <w:rFonts w:ascii="標楷體" w:eastAsia="標楷體" w:hAnsi="標楷體" w:cs="Times New Roman"/>
                <w:color w:val="000000"/>
                <w:kern w:val="0"/>
                <w:sz w:val="23"/>
                <w:szCs w:val="23"/>
                <w:lang w:val="en-GB"/>
              </w:rPr>
              <w:t>0</w:t>
            </w:r>
            <w:r w:rsidRPr="009F5AD2">
              <w:rPr>
                <w:rFonts w:ascii="標楷體" w:eastAsia="標楷體" w:hAnsi="標楷體" w:cs="Times New Roman" w:hint="eastAsia"/>
                <w:color w:val="000000"/>
                <w:kern w:val="0"/>
                <w:sz w:val="23"/>
                <w:szCs w:val="23"/>
                <w:lang w:val="en-GB"/>
              </w:rPr>
              <w:t>仟元</w:t>
            </w:r>
            <w:r w:rsidRPr="009F5AD2">
              <w:rPr>
                <w:rFonts w:ascii="標楷體" w:eastAsia="標楷體" w:hAnsi="標楷體" w:cs="Times New Roman"/>
                <w:color w:val="000000"/>
                <w:kern w:val="0"/>
                <w:sz w:val="23"/>
                <w:szCs w:val="23"/>
                <w:lang w:val="en-GB"/>
              </w:rPr>
              <w:t>），導致損失</w:t>
            </w:r>
            <w:r w:rsidR="00B54F72" w:rsidRPr="009F5AD2">
              <w:rPr>
                <w:rFonts w:ascii="標楷體" w:eastAsia="標楷體" w:hAnsi="標楷體" w:cs="Times New Roman" w:hint="eastAsia"/>
                <w:color w:val="000000"/>
                <w:kern w:val="0"/>
                <w:sz w:val="23"/>
                <w:szCs w:val="23"/>
                <w:lang w:val="en-GB"/>
              </w:rPr>
              <w:t>30</w:t>
            </w:r>
            <w:r w:rsidRPr="009F5AD2">
              <w:rPr>
                <w:rFonts w:ascii="標楷體" w:eastAsia="標楷體" w:hAnsi="標楷體" w:cs="Times New Roman" w:hint="eastAsia"/>
                <w:color w:val="000000"/>
                <w:kern w:val="0"/>
                <w:sz w:val="23"/>
                <w:szCs w:val="23"/>
                <w:lang w:val="en-GB"/>
              </w:rPr>
              <w:t>仟元，該損失已</w:t>
            </w:r>
            <w:r w:rsidRPr="009F5AD2">
              <w:rPr>
                <w:rFonts w:ascii="標楷體" w:eastAsia="標楷體" w:hAnsi="標楷體" w:cs="Times New Roman"/>
                <w:color w:val="000000"/>
                <w:kern w:val="0"/>
                <w:sz w:val="23"/>
                <w:szCs w:val="23"/>
                <w:lang w:val="en-GB"/>
              </w:rPr>
              <w:t>包</w:t>
            </w:r>
            <w:r w:rsidRPr="009F5AD2">
              <w:rPr>
                <w:rFonts w:ascii="標楷體" w:eastAsia="標楷體" w:hAnsi="標楷體" w:cs="Times New Roman" w:hint="eastAsia"/>
                <w:color w:val="000000"/>
                <w:kern w:val="0"/>
                <w:sz w:val="23"/>
                <w:szCs w:val="23"/>
                <w:lang w:val="en-GB"/>
              </w:rPr>
              <w:t>含</w:t>
            </w:r>
            <w:r w:rsidRPr="009F5AD2">
              <w:rPr>
                <w:rFonts w:ascii="標楷體" w:eastAsia="標楷體" w:hAnsi="標楷體" w:cs="Times New Roman"/>
                <w:color w:val="000000"/>
                <w:kern w:val="0"/>
                <w:sz w:val="23"/>
                <w:szCs w:val="23"/>
                <w:lang w:val="en-GB"/>
              </w:rPr>
              <w:t>於</w:t>
            </w:r>
            <w:r w:rsidRPr="009F5AD2">
              <w:rPr>
                <w:rFonts w:ascii="標楷體" w:eastAsia="標楷體" w:hAnsi="標楷體" w:cs="Times New Roman" w:hint="eastAsia"/>
                <w:color w:val="000000"/>
                <w:kern w:val="0"/>
                <w:sz w:val="23"/>
                <w:szCs w:val="23"/>
                <w:lang w:val="en-GB"/>
              </w:rPr>
              <w:t>當</w:t>
            </w:r>
            <w:r w:rsidRPr="009F5AD2">
              <w:rPr>
                <w:rFonts w:ascii="標楷體" w:eastAsia="標楷體" w:hAnsi="標楷體" w:cs="Times New Roman"/>
                <w:color w:val="000000"/>
                <w:kern w:val="0"/>
                <w:sz w:val="23"/>
                <w:szCs w:val="23"/>
                <w:lang w:val="en-GB"/>
              </w:rPr>
              <w:t>期</w:t>
            </w:r>
            <w:r w:rsidRPr="009F5AD2">
              <w:rPr>
                <w:rFonts w:ascii="標楷體" w:eastAsia="標楷體" w:hAnsi="標楷體" w:cs="Times New Roman" w:hint="eastAsia"/>
                <w:color w:val="000000"/>
                <w:kern w:val="0"/>
                <w:sz w:val="23"/>
                <w:szCs w:val="23"/>
                <w:lang w:val="en-GB"/>
              </w:rPr>
              <w:t>損益</w:t>
            </w:r>
            <w:r w:rsidRPr="009F5AD2">
              <w:rPr>
                <w:rFonts w:ascii="標楷體" w:eastAsia="標楷體" w:hAnsi="標楷體" w:cs="Times New Roman"/>
                <w:color w:val="000000"/>
                <w:kern w:val="0"/>
                <w:sz w:val="23"/>
                <w:szCs w:val="23"/>
                <w:lang w:val="en-GB"/>
              </w:rPr>
              <w:t>中。</w:t>
            </w:r>
          </w:p>
        </w:tc>
        <w:tc>
          <w:tcPr>
            <w:tcW w:w="34" w:type="pct"/>
            <w:tcBorders>
              <w:top w:val="nil"/>
              <w:left w:val="nil"/>
              <w:bottom w:val="single" w:sz="4" w:space="0" w:color="auto"/>
              <w:right w:val="single" w:sz="4" w:space="0" w:color="000000"/>
            </w:tcBorders>
            <w:tcMar>
              <w:top w:w="30" w:type="dxa"/>
              <w:left w:w="30" w:type="dxa"/>
              <w:bottom w:w="20" w:type="dxa"/>
              <w:right w:w="20" w:type="dxa"/>
            </w:tcMar>
          </w:tcPr>
          <w:p w:rsidR="00016ACE" w:rsidRPr="009F5AD2" w:rsidRDefault="00016ACE" w:rsidP="00485B54">
            <w:pPr>
              <w:widowControl/>
              <w:suppressAutoHyphens/>
              <w:autoSpaceDE w:val="0"/>
              <w:autoSpaceDN w:val="0"/>
              <w:adjustRightInd w:val="0"/>
              <w:spacing w:after="120" w:line="200" w:lineRule="atLeast"/>
              <w:jc w:val="both"/>
              <w:rPr>
                <w:rFonts w:ascii="標楷體" w:eastAsia="標楷體" w:hAnsi="標楷體" w:cs="Times New Roman"/>
                <w:color w:val="000000"/>
                <w:w w:val="0"/>
                <w:kern w:val="0"/>
                <w:sz w:val="23"/>
                <w:szCs w:val="23"/>
                <w:lang w:val="en-GB"/>
              </w:rPr>
            </w:pPr>
          </w:p>
        </w:tc>
      </w:tr>
    </w:tbl>
    <w:p w:rsidR="00F87274" w:rsidRPr="009F5AD2" w:rsidRDefault="00F87274" w:rsidP="009F5AD2">
      <w:pPr>
        <w:spacing w:line="500" w:lineRule="exact"/>
        <w:rPr>
          <w:rFonts w:ascii="標楷體" w:eastAsia="標楷體" w:hAnsi="標楷體"/>
          <w:sz w:val="32"/>
          <w:szCs w:val="32"/>
        </w:rPr>
      </w:pPr>
    </w:p>
    <w:p w:rsidR="00485B54" w:rsidRPr="00F47D30" w:rsidRDefault="00233ECB" w:rsidP="009F5AD2">
      <w:pPr>
        <w:pStyle w:val="a3"/>
        <w:numPr>
          <w:ilvl w:val="0"/>
          <w:numId w:val="1"/>
        </w:numPr>
        <w:spacing w:line="500" w:lineRule="exact"/>
        <w:ind w:leftChars="0"/>
        <w:rPr>
          <w:rFonts w:ascii="標楷體" w:eastAsia="標楷體" w:hAnsi="標楷體"/>
          <w:b/>
          <w:sz w:val="32"/>
          <w:szCs w:val="32"/>
        </w:rPr>
      </w:pPr>
      <w:r w:rsidRPr="00F47D30">
        <w:rPr>
          <w:rFonts w:ascii="標楷體" w:eastAsia="標楷體" w:hAnsi="標楷體" w:hint="eastAsia"/>
          <w:b/>
          <w:sz w:val="32"/>
          <w:szCs w:val="32"/>
        </w:rPr>
        <w:t>結論及實務提醒事項</w:t>
      </w:r>
    </w:p>
    <w:p w:rsidR="00AA74D6" w:rsidRPr="009F5AD2" w:rsidRDefault="00AA74D6" w:rsidP="009F5AD2">
      <w:pPr>
        <w:pStyle w:val="a3"/>
        <w:spacing w:line="500" w:lineRule="exact"/>
        <w:ind w:leftChars="0" w:firstLineChars="202" w:firstLine="646"/>
        <w:rPr>
          <w:rFonts w:ascii="標楷體" w:eastAsia="標楷體" w:hAnsi="標楷體"/>
          <w:sz w:val="32"/>
          <w:szCs w:val="32"/>
        </w:rPr>
      </w:pPr>
      <w:r w:rsidRPr="009F5AD2">
        <w:rPr>
          <w:rFonts w:ascii="標楷體" w:eastAsia="標楷體" w:hAnsi="標楷體" w:hint="eastAsia"/>
          <w:sz w:val="32"/>
          <w:szCs w:val="32"/>
        </w:rPr>
        <w:t>由於</w:t>
      </w:r>
      <w:r w:rsidRPr="009F5AD2">
        <w:rPr>
          <w:rFonts w:ascii="標楷體" w:eastAsia="標楷體" w:hAnsi="標楷體"/>
          <w:sz w:val="32"/>
          <w:szCs w:val="32"/>
        </w:rPr>
        <w:t>IFRS 13</w:t>
      </w:r>
      <w:r w:rsidRPr="009F5AD2">
        <w:rPr>
          <w:rFonts w:ascii="標楷體" w:eastAsia="標楷體" w:hAnsi="標楷體" w:hint="eastAsia"/>
          <w:sz w:val="32"/>
          <w:szCs w:val="32"/>
        </w:rPr>
        <w:t>針對公允價值衡量之性質為重複性或非重複性，對已認列(而非僅作揭露)之公允價值衡量訂有不同之揭露規定。企業宜及早進行相關檢視，以期順利適用IFRS 13之規定。</w:t>
      </w:r>
    </w:p>
    <w:p w:rsidR="00FE13DB" w:rsidRPr="00F47D30" w:rsidRDefault="00233ECB" w:rsidP="009F5AD2">
      <w:pPr>
        <w:pStyle w:val="a3"/>
        <w:numPr>
          <w:ilvl w:val="0"/>
          <w:numId w:val="1"/>
        </w:numPr>
        <w:spacing w:line="500" w:lineRule="exact"/>
        <w:ind w:leftChars="0"/>
        <w:rPr>
          <w:rFonts w:ascii="標楷體" w:eastAsia="標楷體" w:hAnsi="標楷體"/>
          <w:b/>
          <w:sz w:val="32"/>
          <w:szCs w:val="32"/>
        </w:rPr>
      </w:pPr>
      <w:r w:rsidRPr="00F47D30">
        <w:rPr>
          <w:rFonts w:ascii="標楷體" w:eastAsia="標楷體" w:hAnsi="標楷體" w:hint="eastAsia"/>
          <w:b/>
          <w:sz w:val="32"/>
          <w:szCs w:val="32"/>
        </w:rPr>
        <w:lastRenderedPageBreak/>
        <w:t>資料來源</w:t>
      </w:r>
    </w:p>
    <w:p w:rsidR="00FE13DB" w:rsidRPr="009F5AD2" w:rsidRDefault="00FE13DB" w:rsidP="009F5AD2">
      <w:pPr>
        <w:pStyle w:val="a3"/>
        <w:numPr>
          <w:ilvl w:val="0"/>
          <w:numId w:val="6"/>
        </w:numPr>
        <w:spacing w:line="500" w:lineRule="exact"/>
        <w:ind w:leftChars="0" w:left="993"/>
        <w:rPr>
          <w:rFonts w:ascii="標楷體" w:eastAsia="標楷體" w:hAnsi="標楷體"/>
          <w:sz w:val="32"/>
          <w:szCs w:val="32"/>
        </w:rPr>
      </w:pPr>
      <w:r w:rsidRPr="009F5AD2">
        <w:rPr>
          <w:rFonts w:ascii="標楷體" w:eastAsia="標楷體" w:hAnsi="標楷體" w:hint="eastAsia"/>
          <w:sz w:val="32"/>
          <w:szCs w:val="32"/>
        </w:rPr>
        <w:t>IFRS 13「公允價值衡量」</w:t>
      </w:r>
    </w:p>
    <w:p w:rsidR="00FE13DB" w:rsidRPr="009F5AD2" w:rsidRDefault="00FE13DB" w:rsidP="009F5AD2">
      <w:pPr>
        <w:pStyle w:val="a3"/>
        <w:numPr>
          <w:ilvl w:val="0"/>
          <w:numId w:val="6"/>
        </w:numPr>
        <w:spacing w:line="500" w:lineRule="exact"/>
        <w:ind w:leftChars="0" w:left="993"/>
        <w:rPr>
          <w:rFonts w:ascii="標楷體" w:eastAsia="標楷體" w:hAnsi="標楷體"/>
          <w:sz w:val="32"/>
          <w:szCs w:val="32"/>
        </w:rPr>
      </w:pPr>
      <w:r w:rsidRPr="009F5AD2">
        <w:rPr>
          <w:rFonts w:ascii="標楷體" w:eastAsia="標楷體" w:hAnsi="標楷體" w:hint="eastAsia"/>
          <w:sz w:val="32"/>
          <w:szCs w:val="32"/>
        </w:rPr>
        <w:t>EY IGAAP 2014</w:t>
      </w:r>
    </w:p>
    <w:p w:rsidR="00FE13DB" w:rsidRPr="00F47D30" w:rsidRDefault="00233ECB" w:rsidP="00F47D30">
      <w:pPr>
        <w:pStyle w:val="a3"/>
        <w:numPr>
          <w:ilvl w:val="0"/>
          <w:numId w:val="1"/>
        </w:numPr>
        <w:spacing w:line="500" w:lineRule="exact"/>
        <w:ind w:leftChars="0"/>
        <w:rPr>
          <w:rFonts w:ascii="標楷體" w:eastAsia="標楷體" w:hAnsi="標楷體"/>
          <w:sz w:val="32"/>
          <w:szCs w:val="32"/>
        </w:rPr>
      </w:pPr>
      <w:r w:rsidRPr="009F5AD2">
        <w:rPr>
          <w:rFonts w:ascii="標楷體" w:eastAsia="標楷體" w:hAnsi="標楷體" w:hint="eastAsia"/>
          <w:sz w:val="32"/>
          <w:szCs w:val="32"/>
        </w:rPr>
        <w:t>其他</w:t>
      </w:r>
      <w:r w:rsidR="00F47D30">
        <w:rPr>
          <w:rFonts w:ascii="標楷體" w:eastAsia="標楷體" w:hAnsi="標楷體" w:hint="eastAsia"/>
          <w:sz w:val="32"/>
          <w:szCs w:val="32"/>
        </w:rPr>
        <w:t>：</w:t>
      </w:r>
      <w:r w:rsidR="00F47D30" w:rsidRPr="00F47D30">
        <w:rPr>
          <w:rFonts w:ascii="標楷體" w:eastAsia="標楷體" w:hAnsi="標楷體" w:hint="eastAsia"/>
          <w:sz w:val="32"/>
          <w:szCs w:val="32"/>
        </w:rPr>
        <w:t>宣導會講義及</w:t>
      </w:r>
      <w:proofErr w:type="spellStart"/>
      <w:r w:rsidR="00F47D30" w:rsidRPr="00F47D30">
        <w:rPr>
          <w:rFonts w:ascii="標楷體" w:eastAsia="標楷體" w:hAnsi="標楷體" w:hint="eastAsia"/>
          <w:sz w:val="32"/>
          <w:szCs w:val="32"/>
        </w:rPr>
        <w:t>Webpro</w:t>
      </w:r>
      <w:proofErr w:type="spellEnd"/>
      <w:r w:rsidR="00F47D30" w:rsidRPr="00F47D30">
        <w:rPr>
          <w:rFonts w:ascii="標楷體" w:eastAsia="標楷體" w:hAnsi="標楷體" w:hint="eastAsia"/>
          <w:sz w:val="32"/>
          <w:szCs w:val="32"/>
        </w:rPr>
        <w:t>影音連結</w:t>
      </w:r>
      <w:r w:rsidR="00AA74D6" w:rsidRPr="00F47D30">
        <w:rPr>
          <w:rFonts w:ascii="標楷體" w:eastAsia="標楷體" w:hAnsi="標楷體" w:hint="eastAsia"/>
          <w:sz w:val="32"/>
          <w:szCs w:val="32"/>
        </w:rPr>
        <w:t>。</w:t>
      </w:r>
    </w:p>
    <w:sectPr w:rsidR="00FE13DB" w:rsidRPr="00F47D30" w:rsidSect="0000586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F19" w:rsidRDefault="00C33F19">
      <w:r>
        <w:separator/>
      </w:r>
    </w:p>
  </w:endnote>
  <w:endnote w:type="continuationSeparator" w:id="0">
    <w:p w:rsidR="00C33F19" w:rsidRDefault="00C33F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34954"/>
      <w:docPartObj>
        <w:docPartGallery w:val="Page Numbers (Bottom of Page)"/>
        <w:docPartUnique/>
      </w:docPartObj>
    </w:sdtPr>
    <w:sdtContent>
      <w:p w:rsidR="000665D3" w:rsidRDefault="00CC63F4">
        <w:pPr>
          <w:pStyle w:val="a4"/>
          <w:jc w:val="center"/>
        </w:pPr>
        <w:r>
          <w:fldChar w:fldCharType="begin"/>
        </w:r>
        <w:r w:rsidR="000665D3">
          <w:instrText>PAGE   \* MERGEFORMAT</w:instrText>
        </w:r>
        <w:r>
          <w:fldChar w:fldCharType="separate"/>
        </w:r>
        <w:r w:rsidR="00CD760E" w:rsidRPr="00CD760E">
          <w:rPr>
            <w:noProof/>
            <w:lang w:val="zh-TW"/>
          </w:rPr>
          <w:t>1</w:t>
        </w:r>
        <w:r>
          <w:fldChar w:fldCharType="end"/>
        </w:r>
      </w:p>
    </w:sdtContent>
  </w:sdt>
  <w:p w:rsidR="00485B54" w:rsidRDefault="00485B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F19" w:rsidRDefault="00C33F19">
      <w:r>
        <w:separator/>
      </w:r>
    </w:p>
  </w:footnote>
  <w:footnote w:type="continuationSeparator" w:id="0">
    <w:p w:rsidR="00C33F19" w:rsidRDefault="00C33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0405"/>
    <w:multiLevelType w:val="hybridMultilevel"/>
    <w:tmpl w:val="88C6A428"/>
    <w:lvl w:ilvl="0" w:tplc="04090001">
      <w:start w:val="1"/>
      <w:numFmt w:val="bullet"/>
      <w:lvlText w:val=""/>
      <w:lvlJc w:val="left"/>
      <w:pPr>
        <w:ind w:left="967" w:hanging="480"/>
      </w:pPr>
      <w:rPr>
        <w:rFonts w:ascii="Wingdings" w:hAnsi="Wingdings" w:hint="default"/>
      </w:rPr>
    </w:lvl>
    <w:lvl w:ilvl="1" w:tplc="04090003" w:tentative="1">
      <w:start w:val="1"/>
      <w:numFmt w:val="bullet"/>
      <w:lvlText w:val=""/>
      <w:lvlJc w:val="left"/>
      <w:pPr>
        <w:ind w:left="1447" w:hanging="480"/>
      </w:pPr>
      <w:rPr>
        <w:rFonts w:ascii="Wingdings" w:hAnsi="Wingdings" w:hint="default"/>
      </w:rPr>
    </w:lvl>
    <w:lvl w:ilvl="2" w:tplc="04090005" w:tentative="1">
      <w:start w:val="1"/>
      <w:numFmt w:val="bullet"/>
      <w:lvlText w:val=""/>
      <w:lvlJc w:val="left"/>
      <w:pPr>
        <w:ind w:left="1927" w:hanging="480"/>
      </w:pPr>
      <w:rPr>
        <w:rFonts w:ascii="Wingdings" w:hAnsi="Wingdings" w:hint="default"/>
      </w:rPr>
    </w:lvl>
    <w:lvl w:ilvl="3" w:tplc="04090001" w:tentative="1">
      <w:start w:val="1"/>
      <w:numFmt w:val="bullet"/>
      <w:lvlText w:val=""/>
      <w:lvlJc w:val="left"/>
      <w:pPr>
        <w:ind w:left="2407" w:hanging="480"/>
      </w:pPr>
      <w:rPr>
        <w:rFonts w:ascii="Wingdings" w:hAnsi="Wingdings" w:hint="default"/>
      </w:rPr>
    </w:lvl>
    <w:lvl w:ilvl="4" w:tplc="04090003" w:tentative="1">
      <w:start w:val="1"/>
      <w:numFmt w:val="bullet"/>
      <w:lvlText w:val=""/>
      <w:lvlJc w:val="left"/>
      <w:pPr>
        <w:ind w:left="2887" w:hanging="480"/>
      </w:pPr>
      <w:rPr>
        <w:rFonts w:ascii="Wingdings" w:hAnsi="Wingdings" w:hint="default"/>
      </w:rPr>
    </w:lvl>
    <w:lvl w:ilvl="5" w:tplc="04090005" w:tentative="1">
      <w:start w:val="1"/>
      <w:numFmt w:val="bullet"/>
      <w:lvlText w:val=""/>
      <w:lvlJc w:val="left"/>
      <w:pPr>
        <w:ind w:left="3367" w:hanging="480"/>
      </w:pPr>
      <w:rPr>
        <w:rFonts w:ascii="Wingdings" w:hAnsi="Wingdings" w:hint="default"/>
      </w:rPr>
    </w:lvl>
    <w:lvl w:ilvl="6" w:tplc="04090001" w:tentative="1">
      <w:start w:val="1"/>
      <w:numFmt w:val="bullet"/>
      <w:lvlText w:val=""/>
      <w:lvlJc w:val="left"/>
      <w:pPr>
        <w:ind w:left="3847" w:hanging="480"/>
      </w:pPr>
      <w:rPr>
        <w:rFonts w:ascii="Wingdings" w:hAnsi="Wingdings" w:hint="default"/>
      </w:rPr>
    </w:lvl>
    <w:lvl w:ilvl="7" w:tplc="04090003" w:tentative="1">
      <w:start w:val="1"/>
      <w:numFmt w:val="bullet"/>
      <w:lvlText w:val=""/>
      <w:lvlJc w:val="left"/>
      <w:pPr>
        <w:ind w:left="4327" w:hanging="480"/>
      </w:pPr>
      <w:rPr>
        <w:rFonts w:ascii="Wingdings" w:hAnsi="Wingdings" w:hint="default"/>
      </w:rPr>
    </w:lvl>
    <w:lvl w:ilvl="8" w:tplc="04090005" w:tentative="1">
      <w:start w:val="1"/>
      <w:numFmt w:val="bullet"/>
      <w:lvlText w:val=""/>
      <w:lvlJc w:val="left"/>
      <w:pPr>
        <w:ind w:left="4807" w:hanging="480"/>
      </w:pPr>
      <w:rPr>
        <w:rFonts w:ascii="Wingdings" w:hAnsi="Wingdings" w:hint="default"/>
      </w:rPr>
    </w:lvl>
  </w:abstractNum>
  <w:abstractNum w:abstractNumId="1">
    <w:nsid w:val="45A46DDC"/>
    <w:multiLevelType w:val="hybridMultilevel"/>
    <w:tmpl w:val="A132A96C"/>
    <w:lvl w:ilvl="0" w:tplc="11C64490">
      <w:start w:val="1"/>
      <w:numFmt w:val="decimal"/>
      <w:lvlText w:val="%1."/>
      <w:lvlJc w:val="left"/>
      <w:pPr>
        <w:ind w:left="840" w:hanging="360"/>
      </w:pPr>
      <w:rPr>
        <w:rFonts w:ascii="Arial"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BF65C5C"/>
    <w:multiLevelType w:val="hybridMultilevel"/>
    <w:tmpl w:val="7FEE4C1A"/>
    <w:lvl w:ilvl="0" w:tplc="CBAE6D32">
      <w:start w:val="1"/>
      <w:numFmt w:val="taiwaneseCountingThousand"/>
      <w:lvlText w:val="%1、"/>
      <w:lvlJc w:val="left"/>
      <w:pPr>
        <w:ind w:left="720" w:hanging="720"/>
      </w:pPr>
      <w:rPr>
        <w:rFonts w:eastAsia="SimHe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08432B"/>
    <w:multiLevelType w:val="hybridMultilevel"/>
    <w:tmpl w:val="ABC409DA"/>
    <w:lvl w:ilvl="0" w:tplc="88F82DFC">
      <w:start w:val="1"/>
      <w:numFmt w:val="decimal"/>
      <w:lvlText w:val="%1."/>
      <w:lvlJc w:val="left"/>
      <w:pPr>
        <w:ind w:left="360" w:hanging="360"/>
      </w:pPr>
      <w:rPr>
        <w:rFonts w:ascii="Arial" w:eastAsiaTheme="minorEastAsia"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553F8A"/>
    <w:multiLevelType w:val="hybridMultilevel"/>
    <w:tmpl w:val="DE0C1216"/>
    <w:lvl w:ilvl="0" w:tplc="EC52B05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70C3483F"/>
    <w:multiLevelType w:val="hybridMultilevel"/>
    <w:tmpl w:val="0310C73E"/>
    <w:lvl w:ilvl="0" w:tplc="0DF858EA">
      <w:start w:val="1"/>
      <w:numFmt w:val="taiwaneseCountingThousand"/>
      <w:lvlText w:val="%1、"/>
      <w:lvlJc w:val="left"/>
      <w:pPr>
        <w:ind w:left="480" w:hanging="480"/>
      </w:pPr>
      <w:rPr>
        <w:rFonts w:ascii="標楷體" w:eastAsia="標楷體" w:hAnsi="標楷體" w:hint="default"/>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7274"/>
    <w:rsid w:val="00005866"/>
    <w:rsid w:val="0001071B"/>
    <w:rsid w:val="00016ACE"/>
    <w:rsid w:val="000665D3"/>
    <w:rsid w:val="000D2C2E"/>
    <w:rsid w:val="000D6617"/>
    <w:rsid w:val="001B4CBF"/>
    <w:rsid w:val="00233ECB"/>
    <w:rsid w:val="002F670B"/>
    <w:rsid w:val="003E3644"/>
    <w:rsid w:val="00413834"/>
    <w:rsid w:val="004138F5"/>
    <w:rsid w:val="00461962"/>
    <w:rsid w:val="00465C47"/>
    <w:rsid w:val="00485B54"/>
    <w:rsid w:val="00493CA1"/>
    <w:rsid w:val="004D6C83"/>
    <w:rsid w:val="00596F16"/>
    <w:rsid w:val="005C42F3"/>
    <w:rsid w:val="005E3551"/>
    <w:rsid w:val="005F674F"/>
    <w:rsid w:val="006677BF"/>
    <w:rsid w:val="00822F92"/>
    <w:rsid w:val="008C028E"/>
    <w:rsid w:val="008F6ACB"/>
    <w:rsid w:val="009710A6"/>
    <w:rsid w:val="00984D16"/>
    <w:rsid w:val="009E6ADD"/>
    <w:rsid w:val="009F5AD2"/>
    <w:rsid w:val="00AA74D6"/>
    <w:rsid w:val="00B54CE2"/>
    <w:rsid w:val="00B54F72"/>
    <w:rsid w:val="00B87BF3"/>
    <w:rsid w:val="00BF4BA9"/>
    <w:rsid w:val="00C33F19"/>
    <w:rsid w:val="00C6594A"/>
    <w:rsid w:val="00CC63F4"/>
    <w:rsid w:val="00CD760E"/>
    <w:rsid w:val="00F434DE"/>
    <w:rsid w:val="00F47D30"/>
    <w:rsid w:val="00F87274"/>
    <w:rsid w:val="00FD7E39"/>
    <w:rsid w:val="00FE13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7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274"/>
    <w:pPr>
      <w:ind w:leftChars="200" w:left="480"/>
    </w:pPr>
  </w:style>
  <w:style w:type="paragraph" w:styleId="a4">
    <w:name w:val="footer"/>
    <w:basedOn w:val="a"/>
    <w:link w:val="a5"/>
    <w:uiPriority w:val="99"/>
    <w:unhideWhenUsed/>
    <w:rsid w:val="00F87274"/>
    <w:pPr>
      <w:tabs>
        <w:tab w:val="center" w:pos="4153"/>
        <w:tab w:val="right" w:pos="8306"/>
      </w:tabs>
      <w:snapToGrid w:val="0"/>
    </w:pPr>
    <w:rPr>
      <w:sz w:val="20"/>
      <w:szCs w:val="20"/>
    </w:rPr>
  </w:style>
  <w:style w:type="character" w:customStyle="1" w:styleId="a5">
    <w:name w:val="頁尾 字元"/>
    <w:basedOn w:val="a0"/>
    <w:link w:val="a4"/>
    <w:uiPriority w:val="99"/>
    <w:rsid w:val="00F87274"/>
    <w:rPr>
      <w:sz w:val="20"/>
      <w:szCs w:val="20"/>
    </w:rPr>
  </w:style>
  <w:style w:type="paragraph" w:styleId="a6">
    <w:name w:val="header"/>
    <w:basedOn w:val="a"/>
    <w:link w:val="a7"/>
    <w:uiPriority w:val="99"/>
    <w:unhideWhenUsed/>
    <w:rsid w:val="00233ECB"/>
    <w:pPr>
      <w:tabs>
        <w:tab w:val="center" w:pos="4153"/>
        <w:tab w:val="right" w:pos="8306"/>
      </w:tabs>
      <w:snapToGrid w:val="0"/>
    </w:pPr>
    <w:rPr>
      <w:sz w:val="20"/>
      <w:szCs w:val="20"/>
    </w:rPr>
  </w:style>
  <w:style w:type="character" w:customStyle="1" w:styleId="a7">
    <w:name w:val="頁首 字元"/>
    <w:basedOn w:val="a0"/>
    <w:link w:val="a6"/>
    <w:uiPriority w:val="99"/>
    <w:rsid w:val="00233ECB"/>
    <w:rPr>
      <w:sz w:val="20"/>
      <w:szCs w:val="20"/>
    </w:rPr>
  </w:style>
  <w:style w:type="paragraph" w:customStyle="1" w:styleId="level3">
    <w:name w:val="level3"/>
    <w:basedOn w:val="a"/>
    <w:rsid w:val="00822F92"/>
    <w:pPr>
      <w:widowControl/>
      <w:spacing w:before="40" w:after="40"/>
    </w:pPr>
    <w:rPr>
      <w:rFonts w:ascii="Verdana" w:eastAsia="新細明體" w:hAnsi="Verdana" w:cs="新細明體"/>
      <w:b/>
      <w:bCs/>
      <w:color w:val="585775"/>
      <w:kern w:val="0"/>
      <w:sz w:val="26"/>
      <w:szCs w:val="26"/>
    </w:rPr>
  </w:style>
  <w:style w:type="paragraph" w:customStyle="1" w:styleId="ps-000-normal">
    <w:name w:val="ps-000-normal"/>
    <w:basedOn w:val="a"/>
    <w:rsid w:val="00822F92"/>
    <w:pPr>
      <w:widowControl/>
      <w:spacing w:before="100" w:after="100"/>
    </w:pPr>
    <w:rPr>
      <w:rFonts w:ascii="Verdana" w:eastAsia="新細明體" w:hAnsi="Verdana" w:cs="新細明體"/>
      <w:color w:val="000000"/>
      <w:kern w:val="0"/>
      <w:sz w:val="20"/>
      <w:szCs w:val="20"/>
    </w:rPr>
  </w:style>
  <w:style w:type="character" w:customStyle="1" w:styleId="cs-904-bullet-symbol-font1">
    <w:name w:val="cs-904-bullet-symbol-font1"/>
    <w:basedOn w:val="a0"/>
    <w:rsid w:val="00822F92"/>
    <w:rPr>
      <w:rFonts w:ascii="Symbol" w:hAnsi="Symbol" w:hint="default"/>
    </w:rPr>
  </w:style>
  <w:style w:type="character" w:customStyle="1" w:styleId="cs-900-italics1">
    <w:name w:val="cs-900-italics1"/>
    <w:basedOn w:val="a0"/>
    <w:rsid w:val="00822F92"/>
    <w:rPr>
      <w:i/>
      <w:iCs/>
    </w:rPr>
  </w:style>
  <w:style w:type="paragraph" w:styleId="a8">
    <w:name w:val="Balloon Text"/>
    <w:basedOn w:val="a"/>
    <w:link w:val="a9"/>
    <w:uiPriority w:val="99"/>
    <w:semiHidden/>
    <w:unhideWhenUsed/>
    <w:rsid w:val="00016AC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16A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274"/>
    <w:pPr>
      <w:ind w:leftChars="200" w:left="480"/>
    </w:pPr>
  </w:style>
  <w:style w:type="paragraph" w:styleId="a4">
    <w:name w:val="footer"/>
    <w:basedOn w:val="a"/>
    <w:link w:val="a5"/>
    <w:uiPriority w:val="99"/>
    <w:unhideWhenUsed/>
    <w:rsid w:val="00F87274"/>
    <w:pPr>
      <w:tabs>
        <w:tab w:val="center" w:pos="4153"/>
        <w:tab w:val="right" w:pos="8306"/>
      </w:tabs>
      <w:snapToGrid w:val="0"/>
    </w:pPr>
    <w:rPr>
      <w:sz w:val="20"/>
      <w:szCs w:val="20"/>
    </w:rPr>
  </w:style>
  <w:style w:type="character" w:customStyle="1" w:styleId="a5">
    <w:name w:val="頁尾 字元"/>
    <w:basedOn w:val="a0"/>
    <w:link w:val="a4"/>
    <w:uiPriority w:val="99"/>
    <w:rsid w:val="00F87274"/>
    <w:rPr>
      <w:sz w:val="20"/>
      <w:szCs w:val="20"/>
    </w:rPr>
  </w:style>
  <w:style w:type="paragraph" w:styleId="a6">
    <w:name w:val="header"/>
    <w:basedOn w:val="a"/>
    <w:link w:val="a7"/>
    <w:uiPriority w:val="99"/>
    <w:unhideWhenUsed/>
    <w:rsid w:val="00233ECB"/>
    <w:pPr>
      <w:tabs>
        <w:tab w:val="center" w:pos="4153"/>
        <w:tab w:val="right" w:pos="8306"/>
      </w:tabs>
      <w:snapToGrid w:val="0"/>
    </w:pPr>
    <w:rPr>
      <w:sz w:val="20"/>
      <w:szCs w:val="20"/>
    </w:rPr>
  </w:style>
  <w:style w:type="character" w:customStyle="1" w:styleId="a7">
    <w:name w:val="頁首 字元"/>
    <w:basedOn w:val="a0"/>
    <w:link w:val="a6"/>
    <w:uiPriority w:val="99"/>
    <w:rsid w:val="00233ECB"/>
    <w:rPr>
      <w:sz w:val="20"/>
      <w:szCs w:val="20"/>
    </w:rPr>
  </w:style>
  <w:style w:type="paragraph" w:customStyle="1" w:styleId="level3">
    <w:name w:val="level3"/>
    <w:basedOn w:val="a"/>
    <w:rsid w:val="00822F92"/>
    <w:pPr>
      <w:widowControl/>
      <w:spacing w:before="40" w:after="40"/>
    </w:pPr>
    <w:rPr>
      <w:rFonts w:ascii="Verdana" w:eastAsia="新細明體" w:hAnsi="Verdana" w:cs="新細明體"/>
      <w:b/>
      <w:bCs/>
      <w:color w:val="585775"/>
      <w:kern w:val="0"/>
      <w:sz w:val="26"/>
      <w:szCs w:val="26"/>
    </w:rPr>
  </w:style>
  <w:style w:type="paragraph" w:customStyle="1" w:styleId="ps-000-normal">
    <w:name w:val="ps-000-normal"/>
    <w:basedOn w:val="a"/>
    <w:rsid w:val="00822F92"/>
    <w:pPr>
      <w:widowControl/>
      <w:spacing w:before="100" w:after="100"/>
    </w:pPr>
    <w:rPr>
      <w:rFonts w:ascii="Verdana" w:eastAsia="新細明體" w:hAnsi="Verdana" w:cs="新細明體"/>
      <w:color w:val="000000"/>
      <w:kern w:val="0"/>
      <w:sz w:val="20"/>
      <w:szCs w:val="20"/>
    </w:rPr>
  </w:style>
  <w:style w:type="character" w:customStyle="1" w:styleId="cs-904-bullet-symbol-font1">
    <w:name w:val="cs-904-bullet-symbol-font1"/>
    <w:basedOn w:val="a0"/>
    <w:rsid w:val="00822F92"/>
    <w:rPr>
      <w:rFonts w:ascii="Symbol" w:hAnsi="Symbol" w:hint="default"/>
    </w:rPr>
  </w:style>
  <w:style w:type="character" w:customStyle="1" w:styleId="cs-900-italics1">
    <w:name w:val="cs-900-italics1"/>
    <w:basedOn w:val="a0"/>
    <w:rsid w:val="00822F92"/>
    <w:rPr>
      <w:i/>
      <w:iCs/>
    </w:rPr>
  </w:style>
  <w:style w:type="paragraph" w:styleId="a8">
    <w:name w:val="Balloon Text"/>
    <w:basedOn w:val="a"/>
    <w:link w:val="a9"/>
    <w:uiPriority w:val="99"/>
    <w:semiHidden/>
    <w:unhideWhenUsed/>
    <w:rsid w:val="00016AC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16AC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59308926">
      <w:bodyDiv w:val="1"/>
      <w:marLeft w:val="0"/>
      <w:marRight w:val="0"/>
      <w:marTop w:val="0"/>
      <w:marBottom w:val="100"/>
      <w:divBdr>
        <w:top w:val="none" w:sz="0" w:space="0" w:color="auto"/>
        <w:left w:val="none" w:sz="0" w:space="0" w:color="auto"/>
        <w:bottom w:val="none" w:sz="0" w:space="0" w:color="auto"/>
        <w:right w:val="none" w:sz="0" w:space="0" w:color="auto"/>
      </w:divBdr>
      <w:divsChild>
        <w:div w:id="892813224">
          <w:marLeft w:val="0"/>
          <w:marRight w:val="0"/>
          <w:marTop w:val="0"/>
          <w:marBottom w:val="0"/>
          <w:divBdr>
            <w:top w:val="none" w:sz="0" w:space="0" w:color="auto"/>
            <w:left w:val="none" w:sz="0" w:space="0" w:color="auto"/>
            <w:bottom w:val="none" w:sz="0" w:space="0" w:color="auto"/>
            <w:right w:val="none" w:sz="0" w:space="0" w:color="auto"/>
          </w:divBdr>
          <w:divsChild>
            <w:div w:id="1975721354">
              <w:marLeft w:val="0"/>
              <w:marRight w:val="0"/>
              <w:marTop w:val="0"/>
              <w:marBottom w:val="0"/>
              <w:divBdr>
                <w:top w:val="none" w:sz="0" w:space="0" w:color="auto"/>
                <w:left w:val="none" w:sz="0" w:space="0" w:color="auto"/>
                <w:bottom w:val="none" w:sz="0" w:space="0" w:color="auto"/>
                <w:right w:val="none" w:sz="0" w:space="0" w:color="auto"/>
              </w:divBdr>
              <w:divsChild>
                <w:div w:id="506675210">
                  <w:marLeft w:val="0"/>
                  <w:marRight w:val="0"/>
                  <w:marTop w:val="0"/>
                  <w:marBottom w:val="0"/>
                  <w:divBdr>
                    <w:top w:val="none" w:sz="0" w:space="0" w:color="auto"/>
                    <w:left w:val="none" w:sz="0" w:space="0" w:color="auto"/>
                    <w:bottom w:val="none" w:sz="0" w:space="0" w:color="auto"/>
                    <w:right w:val="none" w:sz="0" w:space="0" w:color="auto"/>
                  </w:divBdr>
                </w:div>
                <w:div w:id="2031878608">
                  <w:marLeft w:val="0"/>
                  <w:marRight w:val="0"/>
                  <w:marTop w:val="0"/>
                  <w:marBottom w:val="0"/>
                  <w:divBdr>
                    <w:top w:val="none" w:sz="0" w:space="0" w:color="auto"/>
                    <w:left w:val="none" w:sz="0" w:space="0" w:color="auto"/>
                    <w:bottom w:val="none" w:sz="0" w:space="0" w:color="auto"/>
                    <w:right w:val="none" w:sz="0" w:space="0" w:color="auto"/>
                  </w:divBdr>
                </w:div>
                <w:div w:id="10884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376</Words>
  <Characters>2144</Characters>
  <Application>Microsoft Office Word</Application>
  <DocSecurity>0</DocSecurity>
  <Lines>17</Lines>
  <Paragraphs>5</Paragraphs>
  <ScaleCrop>false</ScaleCrop>
  <Company>Ernst &amp; Young</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Ko-Hao Chen</dc:creator>
  <cp:lastModifiedBy>00</cp:lastModifiedBy>
  <cp:revision>8</cp:revision>
  <cp:lastPrinted>2014-06-20T04:19:00Z</cp:lastPrinted>
  <dcterms:created xsi:type="dcterms:W3CDTF">2014-07-10T08:57:00Z</dcterms:created>
  <dcterms:modified xsi:type="dcterms:W3CDTF">2014-07-17T03:38:00Z</dcterms:modified>
</cp:coreProperties>
</file>